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AD4F05" w:rsidRDefault="006544C4" w:rsidP="00907825">
      <w:pPr>
        <w:jc w:val="center"/>
        <w:rPr>
          <w:lang w:val="fr-FR"/>
        </w:rPr>
      </w:pPr>
      <w:bookmarkStart w:id="0" w:name="_GoBack"/>
      <w:bookmarkEnd w:id="0"/>
    </w:p>
    <w:p w:rsidR="006544C4" w:rsidRPr="00AD4F05" w:rsidRDefault="006544C4" w:rsidP="00907825">
      <w:pPr>
        <w:jc w:val="center"/>
        <w:rPr>
          <w:lang w:val="fr-FR"/>
        </w:rPr>
      </w:pPr>
    </w:p>
    <w:p w:rsidR="006544C4" w:rsidRPr="00AD4F05" w:rsidRDefault="00EC5477" w:rsidP="00907825">
      <w:pPr>
        <w:pStyle w:val="DecHTitle"/>
        <w:rPr>
          <w:lang w:val="fr-FR"/>
        </w:rPr>
      </w:pPr>
      <w:r>
        <w:rPr>
          <w:szCs w:val="24"/>
          <w:lang w:val="fr-FR"/>
        </w:rPr>
        <w:t>QUATRIÈME SECTION</w:t>
      </w:r>
    </w:p>
    <w:p w:rsidR="006544C4" w:rsidRPr="00AD4F05" w:rsidRDefault="006544C4" w:rsidP="00907825">
      <w:pPr>
        <w:pStyle w:val="DecHTitle"/>
        <w:rPr>
          <w:caps/>
          <w:sz w:val="32"/>
          <w:lang w:val="fr-FR"/>
        </w:rPr>
      </w:pPr>
      <w:r w:rsidRPr="00AD4F05">
        <w:rPr>
          <w:lang w:val="fr-FR"/>
        </w:rPr>
        <w:t>DÉCISION</w:t>
      </w:r>
    </w:p>
    <w:p w:rsidR="006544C4" w:rsidRPr="00AD4F05" w:rsidRDefault="00EC5477" w:rsidP="00907825">
      <w:pPr>
        <w:pStyle w:val="ECHRTitleCentre2"/>
        <w:rPr>
          <w:lang w:val="fr-FR"/>
        </w:rPr>
      </w:pPr>
      <w:r w:rsidRPr="00AD4F05">
        <w:rPr>
          <w:lang w:val="fr-FR"/>
        </w:rPr>
        <w:t>Requête n</w:t>
      </w:r>
      <w:r w:rsidRPr="00AD4F05">
        <w:rPr>
          <w:vertAlign w:val="superscript"/>
          <w:lang w:val="fr-FR"/>
        </w:rPr>
        <w:t>o</w:t>
      </w:r>
      <w:r w:rsidR="006544C4" w:rsidRPr="00AD4F05">
        <w:rPr>
          <w:lang w:val="fr-FR"/>
        </w:rPr>
        <w:t xml:space="preserve"> </w:t>
      </w:r>
      <w:r>
        <w:rPr>
          <w:lang w:val="fr-FR"/>
        </w:rPr>
        <w:t>56635/13</w:t>
      </w:r>
      <w:r w:rsidR="006544C4" w:rsidRPr="00AD4F05">
        <w:rPr>
          <w:lang w:val="fr-FR"/>
        </w:rPr>
        <w:br/>
      </w:r>
      <w:r>
        <w:rPr>
          <w:lang w:val="fr-FR"/>
        </w:rPr>
        <w:t>Constantino</w:t>
      </w:r>
      <w:r w:rsidRPr="00AD4F05">
        <w:rPr>
          <w:lang w:val="fr-FR"/>
        </w:rPr>
        <w:t xml:space="preserve"> </w:t>
      </w:r>
      <w:r>
        <w:rPr>
          <w:lang w:val="fr-FR"/>
        </w:rPr>
        <w:t>DI SILVIO</w:t>
      </w:r>
      <w:r w:rsidRPr="00AD4F05">
        <w:rPr>
          <w:lang w:val="fr-FR"/>
        </w:rPr>
        <w:br/>
      </w:r>
      <w:r w:rsidR="006544C4" w:rsidRPr="00AD4F05">
        <w:rPr>
          <w:lang w:val="fr-FR"/>
        </w:rPr>
        <w:t xml:space="preserve">contre </w:t>
      </w:r>
      <w:r w:rsidRPr="00AD4F05">
        <w:rPr>
          <w:lang w:val="fr-FR"/>
        </w:rPr>
        <w:t>l</w:t>
      </w:r>
      <w:r w:rsidR="00300D45">
        <w:rPr>
          <w:lang w:val="fr-FR"/>
        </w:rPr>
        <w:t>’</w:t>
      </w:r>
      <w:r>
        <w:rPr>
          <w:lang w:val="fr-FR"/>
        </w:rPr>
        <w:t>Italie</w:t>
      </w:r>
    </w:p>
    <w:p w:rsidR="00EC5477" w:rsidRPr="00E21176" w:rsidRDefault="00EC5477" w:rsidP="00B56E2E">
      <w:pPr>
        <w:pStyle w:val="ECHRPara"/>
        <w:rPr>
          <w:lang w:val="fr-FR"/>
        </w:rPr>
      </w:pPr>
      <w:r w:rsidRPr="00E21176">
        <w:rPr>
          <w:lang w:val="fr-FR"/>
        </w:rPr>
        <w:t>La Cour européenne des droits de l</w:t>
      </w:r>
      <w:r w:rsidR="00300D45">
        <w:rPr>
          <w:lang w:val="fr-FR"/>
        </w:rPr>
        <w:t>’</w:t>
      </w:r>
      <w:r w:rsidRPr="00E21176">
        <w:rPr>
          <w:lang w:val="fr-FR"/>
        </w:rPr>
        <w:t>homme (</w:t>
      </w:r>
      <w:r>
        <w:rPr>
          <w:lang w:val="fr-FR"/>
        </w:rPr>
        <w:t>quatrième section</w:t>
      </w:r>
      <w:r w:rsidRPr="00E21176">
        <w:rPr>
          <w:lang w:val="fr-FR"/>
        </w:rPr>
        <w:t xml:space="preserve">), siégeant le </w:t>
      </w:r>
      <w:r>
        <w:rPr>
          <w:lang w:val="fr-FR"/>
        </w:rPr>
        <w:t>20 octobre 2015</w:t>
      </w:r>
      <w:r w:rsidRPr="00E21176">
        <w:rPr>
          <w:lang w:val="fr-FR"/>
        </w:rPr>
        <w:t xml:space="preserve"> en une </w:t>
      </w:r>
      <w:r w:rsidR="00CD3807">
        <w:rPr>
          <w:lang w:val="fr-FR"/>
        </w:rPr>
        <w:t>c</w:t>
      </w:r>
      <w:r>
        <w:rPr>
          <w:lang w:val="fr-FR"/>
        </w:rPr>
        <w:t>hambre</w:t>
      </w:r>
      <w:r w:rsidRPr="00E21176">
        <w:rPr>
          <w:lang w:val="fr-FR"/>
        </w:rPr>
        <w:t xml:space="preserve"> composée de :</w:t>
      </w:r>
    </w:p>
    <w:p w:rsidR="00EC5477" w:rsidRPr="00EC5477" w:rsidRDefault="00EC5477" w:rsidP="00300D45">
      <w:pPr>
        <w:pStyle w:val="ECHRDecisionBody"/>
        <w:rPr>
          <w:lang w:val="fr-FR"/>
        </w:rPr>
      </w:pPr>
      <w:r w:rsidRPr="00EC5477">
        <w:rPr>
          <w:lang w:val="fr-FR"/>
        </w:rPr>
        <w:tab/>
        <w:t>Päivi Hirvelä,</w:t>
      </w:r>
      <w:r w:rsidRPr="00EC5477">
        <w:rPr>
          <w:i/>
          <w:lang w:val="fr-FR"/>
        </w:rPr>
        <w:t xml:space="preserve"> présidente,</w:t>
      </w:r>
      <w:r w:rsidRPr="00EC5477">
        <w:rPr>
          <w:i/>
          <w:lang w:val="fr-FR"/>
        </w:rPr>
        <w:br/>
      </w:r>
      <w:r w:rsidRPr="00EC5477">
        <w:rPr>
          <w:lang w:val="fr-FR"/>
        </w:rPr>
        <w:tab/>
        <w:t>Guido Raimondi,</w:t>
      </w:r>
      <w:r w:rsidRPr="00EC5477">
        <w:rPr>
          <w:i/>
          <w:lang w:val="fr-FR"/>
        </w:rPr>
        <w:br/>
      </w:r>
      <w:r w:rsidRPr="00EC5477">
        <w:rPr>
          <w:lang w:val="fr-FR"/>
        </w:rPr>
        <w:tab/>
        <w:t>George Nicolaou,</w:t>
      </w:r>
      <w:r w:rsidRPr="00EC5477">
        <w:rPr>
          <w:i/>
          <w:lang w:val="fr-FR"/>
        </w:rPr>
        <w:br/>
      </w:r>
      <w:r w:rsidRPr="00EC5477">
        <w:rPr>
          <w:lang w:val="fr-FR"/>
        </w:rPr>
        <w:tab/>
        <w:t>Nona Tsotsoria,</w:t>
      </w:r>
      <w:r w:rsidRPr="00EC5477">
        <w:rPr>
          <w:i/>
          <w:lang w:val="fr-FR"/>
        </w:rPr>
        <w:br/>
      </w:r>
      <w:r w:rsidRPr="00EC5477">
        <w:rPr>
          <w:lang w:val="fr-FR"/>
        </w:rPr>
        <w:tab/>
        <w:t>Paul Mahoney,</w:t>
      </w:r>
      <w:r w:rsidRPr="00EC5477">
        <w:rPr>
          <w:i/>
          <w:lang w:val="fr-FR"/>
        </w:rPr>
        <w:br/>
      </w:r>
      <w:r w:rsidRPr="00EC5477">
        <w:rPr>
          <w:lang w:val="fr-FR"/>
        </w:rPr>
        <w:tab/>
        <w:t>Krzysztof Wojtyczek,</w:t>
      </w:r>
      <w:r w:rsidRPr="00EC5477">
        <w:rPr>
          <w:i/>
          <w:lang w:val="fr-FR"/>
        </w:rPr>
        <w:br/>
      </w:r>
      <w:r w:rsidRPr="00EC5477">
        <w:rPr>
          <w:lang w:val="fr-FR"/>
        </w:rPr>
        <w:tab/>
        <w:t>Faris Vehabović,</w:t>
      </w:r>
      <w:r w:rsidRPr="00EC5477">
        <w:rPr>
          <w:i/>
          <w:lang w:val="fr-FR"/>
        </w:rPr>
        <w:t xml:space="preserve"> juges,</w:t>
      </w:r>
    </w:p>
    <w:p w:rsidR="00EC5477" w:rsidRPr="00E21176" w:rsidRDefault="00EC5477" w:rsidP="00300D45">
      <w:pPr>
        <w:pStyle w:val="ECHRDecisionBody"/>
        <w:rPr>
          <w:lang w:val="fr-FR"/>
        </w:rPr>
      </w:pPr>
      <w:r w:rsidRPr="00E21176">
        <w:rPr>
          <w:lang w:val="fr-FR"/>
        </w:rPr>
        <w:t xml:space="preserve">et de </w:t>
      </w:r>
      <w:r>
        <w:rPr>
          <w:lang w:val="fr-FR"/>
        </w:rPr>
        <w:t>Françoise</w:t>
      </w:r>
      <w:r w:rsidRPr="00E21176">
        <w:rPr>
          <w:lang w:val="fr-FR"/>
        </w:rPr>
        <w:t xml:space="preserve"> </w:t>
      </w:r>
      <w:r>
        <w:rPr>
          <w:lang w:val="fr-FR"/>
        </w:rPr>
        <w:t>Elens-Passos</w:t>
      </w:r>
      <w:r w:rsidRPr="00E21176">
        <w:rPr>
          <w:lang w:val="fr-FR"/>
        </w:rPr>
        <w:t xml:space="preserve">, </w:t>
      </w:r>
      <w:r w:rsidRPr="00E21176">
        <w:rPr>
          <w:i/>
          <w:lang w:val="fr-FR"/>
        </w:rPr>
        <w:t>greffière</w:t>
      </w:r>
      <w:r w:rsidRPr="00E21176">
        <w:rPr>
          <w:i/>
          <w:iCs/>
          <w:lang w:val="fr-FR"/>
        </w:rPr>
        <w:t xml:space="preserve"> d</w:t>
      </w:r>
      <w:r w:rsidRPr="00E21176">
        <w:rPr>
          <w:i/>
          <w:lang w:val="fr-FR"/>
        </w:rPr>
        <w:t>e section,</w:t>
      </w:r>
    </w:p>
    <w:p w:rsidR="00EC5477" w:rsidRPr="00E21176" w:rsidRDefault="00EC5477" w:rsidP="00B56E2E">
      <w:pPr>
        <w:pStyle w:val="ECHRPara"/>
        <w:rPr>
          <w:lang w:val="fr-FR"/>
        </w:rPr>
      </w:pPr>
      <w:r w:rsidRPr="00E21176">
        <w:rPr>
          <w:lang w:val="fr-FR"/>
        </w:rPr>
        <w:t xml:space="preserve">Vu la requête susmentionnée introduite le </w:t>
      </w:r>
      <w:r>
        <w:rPr>
          <w:lang w:val="fr-FR"/>
        </w:rPr>
        <w:t>21 août 2013</w:t>
      </w:r>
      <w:r w:rsidRPr="00E21176">
        <w:rPr>
          <w:lang w:val="fr-FR"/>
        </w:rPr>
        <w:t>,</w:t>
      </w:r>
    </w:p>
    <w:p w:rsidR="00EC5477" w:rsidRPr="00E21176" w:rsidRDefault="00EC5477" w:rsidP="00B56E2E">
      <w:pPr>
        <w:pStyle w:val="ECHRPara"/>
        <w:rPr>
          <w:color w:val="000000"/>
          <w:lang w:val="fr-FR"/>
        </w:rPr>
      </w:pPr>
      <w:r w:rsidRPr="00E21176">
        <w:rPr>
          <w:lang w:val="fr-FR"/>
        </w:rPr>
        <w:t>Après en avoir délibéré, rend la décision suivante :</w:t>
      </w:r>
    </w:p>
    <w:p w:rsidR="00EC5477" w:rsidRPr="00E21176" w:rsidRDefault="00EC5477" w:rsidP="00B56E2E">
      <w:pPr>
        <w:pStyle w:val="ECHRTitle1"/>
        <w:rPr>
          <w:lang w:val="fr-FR"/>
        </w:rPr>
      </w:pPr>
      <w:r w:rsidRPr="00E21176">
        <w:rPr>
          <w:lang w:val="fr-FR"/>
        </w:rPr>
        <w:t>EN FAIT</w:t>
      </w:r>
    </w:p>
    <w:p w:rsidR="00EC5477" w:rsidRPr="00E21176" w:rsidRDefault="00EC5477" w:rsidP="00B56E2E">
      <w:pPr>
        <w:pStyle w:val="ECHRPara"/>
        <w:rPr>
          <w:lang w:val="fr-FR"/>
        </w:rPr>
      </w:pPr>
      <w:r>
        <w:rPr>
          <w:lang w:val="fr-FR"/>
        </w:rPr>
        <w:t>1.  </w:t>
      </w:r>
      <w:r w:rsidRPr="00E21176">
        <w:rPr>
          <w:lang w:val="fr-FR"/>
        </w:rPr>
        <w:t xml:space="preserve">Le requérant, </w:t>
      </w:r>
      <w:r>
        <w:rPr>
          <w:lang w:val="fr-FR"/>
        </w:rPr>
        <w:t>M.</w:t>
      </w:r>
      <w:r w:rsidRPr="00E21176">
        <w:rPr>
          <w:lang w:val="fr-FR"/>
        </w:rPr>
        <w:t xml:space="preserve"> </w:t>
      </w:r>
      <w:r>
        <w:rPr>
          <w:lang w:val="fr-FR"/>
        </w:rPr>
        <w:t>Constantino</w:t>
      </w:r>
      <w:r w:rsidRPr="00E21176">
        <w:rPr>
          <w:lang w:val="fr-FR"/>
        </w:rPr>
        <w:t xml:space="preserve"> </w:t>
      </w:r>
      <w:r>
        <w:rPr>
          <w:lang w:val="fr-FR"/>
        </w:rPr>
        <w:t>Di Silvio</w:t>
      </w:r>
      <w:r w:rsidRPr="00E21176">
        <w:rPr>
          <w:lang w:val="fr-FR"/>
        </w:rPr>
        <w:t xml:space="preserve">, est un ressortissant </w:t>
      </w:r>
      <w:r>
        <w:rPr>
          <w:lang w:val="fr-FR"/>
        </w:rPr>
        <w:t>italien</w:t>
      </w:r>
      <w:r w:rsidRPr="00E21176">
        <w:rPr>
          <w:lang w:val="fr-FR"/>
        </w:rPr>
        <w:t xml:space="preserve"> né en </w:t>
      </w:r>
      <w:r>
        <w:rPr>
          <w:lang w:val="fr-FR"/>
        </w:rPr>
        <w:t>1967</w:t>
      </w:r>
      <w:r w:rsidRPr="00E21176">
        <w:rPr>
          <w:lang w:val="fr-FR"/>
        </w:rPr>
        <w:t xml:space="preserve"> et résidant à </w:t>
      </w:r>
      <w:r>
        <w:rPr>
          <w:lang w:val="fr-FR"/>
        </w:rPr>
        <w:t>Latina</w:t>
      </w:r>
      <w:r w:rsidRPr="00E21176">
        <w:rPr>
          <w:lang w:val="fr-FR"/>
        </w:rPr>
        <w:t>. Il a été représenté devant la Cour par M</w:t>
      </w:r>
      <w:r w:rsidRPr="00E21176">
        <w:rPr>
          <w:vertAlign w:val="superscript"/>
          <w:lang w:val="fr-FR"/>
        </w:rPr>
        <w:t>e</w:t>
      </w:r>
      <w:r>
        <w:rPr>
          <w:vertAlign w:val="superscript"/>
          <w:lang w:val="fr-FR"/>
        </w:rPr>
        <w:t>s</w:t>
      </w:r>
      <w:r w:rsidRPr="00E21176">
        <w:rPr>
          <w:lang w:val="fr-FR"/>
        </w:rPr>
        <w:t> </w:t>
      </w:r>
      <w:r>
        <w:rPr>
          <w:lang w:val="fr-FR"/>
        </w:rPr>
        <w:t>G. Marino et C. Bertini</w:t>
      </w:r>
      <w:r w:rsidRPr="00E21176">
        <w:rPr>
          <w:lang w:val="fr-FR"/>
        </w:rPr>
        <w:t>, avocat</w:t>
      </w:r>
      <w:r>
        <w:rPr>
          <w:lang w:val="fr-FR"/>
        </w:rPr>
        <w:t>s</w:t>
      </w:r>
      <w:r w:rsidRPr="00E21176">
        <w:rPr>
          <w:lang w:val="fr-FR"/>
        </w:rPr>
        <w:t xml:space="preserve"> à </w:t>
      </w:r>
      <w:r>
        <w:rPr>
          <w:lang w:val="fr-FR"/>
        </w:rPr>
        <w:t>Latina</w:t>
      </w:r>
      <w:r w:rsidRPr="00E21176">
        <w:rPr>
          <w:lang w:val="fr-FR"/>
        </w:rPr>
        <w:t>.</w:t>
      </w:r>
    </w:p>
    <w:p w:rsidR="00EC5477" w:rsidRPr="00E21176" w:rsidRDefault="00EC5477" w:rsidP="00B56E2E">
      <w:pPr>
        <w:pStyle w:val="ECHRPara"/>
        <w:rPr>
          <w:lang w:val="fr-FR"/>
        </w:rPr>
      </w:pPr>
      <w:r>
        <w:rPr>
          <w:lang w:val="fr-FR"/>
        </w:rPr>
        <w:t>2.  </w:t>
      </w:r>
      <w:r w:rsidRPr="00E21176">
        <w:rPr>
          <w:lang w:val="fr-FR"/>
        </w:rPr>
        <w:t>Les faits de la cause, tels qu</w:t>
      </w:r>
      <w:r w:rsidR="00300D45">
        <w:rPr>
          <w:lang w:val="fr-FR"/>
        </w:rPr>
        <w:t>’</w:t>
      </w:r>
      <w:r w:rsidRPr="00E21176">
        <w:rPr>
          <w:lang w:val="fr-FR"/>
        </w:rPr>
        <w:t>ils ont été exposés par le requérant, peuvent se résumer comme suit.</w:t>
      </w:r>
    </w:p>
    <w:p w:rsidR="00EC5477" w:rsidRPr="00E21176" w:rsidRDefault="00EC5477" w:rsidP="00B56E2E">
      <w:pPr>
        <w:pStyle w:val="ECHRHeading2"/>
        <w:rPr>
          <w:lang w:val="fr-FR"/>
        </w:rPr>
      </w:pPr>
      <w:r w:rsidRPr="00E21176">
        <w:rPr>
          <w:lang w:val="fr-FR"/>
        </w:rPr>
        <w:t>A.  </w:t>
      </w:r>
      <w:r>
        <w:rPr>
          <w:lang w:val="fr-FR"/>
        </w:rPr>
        <w:t>Les circonstances de l</w:t>
      </w:r>
      <w:r w:rsidR="00300D45">
        <w:rPr>
          <w:lang w:val="fr-FR"/>
        </w:rPr>
        <w:t>’</w:t>
      </w:r>
      <w:r>
        <w:rPr>
          <w:lang w:val="fr-FR"/>
        </w:rPr>
        <w:t>espèce</w:t>
      </w:r>
    </w:p>
    <w:p w:rsidR="00EC5477" w:rsidRDefault="00EC5477" w:rsidP="00B56E2E">
      <w:pPr>
        <w:pStyle w:val="ECHRPara"/>
        <w:rPr>
          <w:lang w:val="fr-FR"/>
        </w:rPr>
      </w:pPr>
      <w:bookmarkStart w:id="1" w:name="expertiseZ"/>
      <w:r>
        <w:rPr>
          <w:lang w:val="fr-FR"/>
        </w:rPr>
        <w:t>3</w:t>
      </w:r>
      <w:bookmarkEnd w:id="1"/>
      <w:r>
        <w:rPr>
          <w:lang w:val="fr-FR"/>
        </w:rPr>
        <w:t>.  Le 25 février 1997, des coups d</w:t>
      </w:r>
      <w:r w:rsidR="00300D45">
        <w:rPr>
          <w:lang w:val="fr-FR"/>
        </w:rPr>
        <w:t>’</w:t>
      </w:r>
      <w:r>
        <w:rPr>
          <w:lang w:val="fr-FR"/>
        </w:rPr>
        <w:t>arme à feu furent tirés contre une voiture appartenant à l</w:t>
      </w:r>
      <w:r w:rsidR="00300D45">
        <w:rPr>
          <w:lang w:val="fr-FR"/>
        </w:rPr>
        <w:t>’</w:t>
      </w:r>
      <w:r>
        <w:rPr>
          <w:lang w:val="fr-FR"/>
        </w:rPr>
        <w:t>épouse d</w:t>
      </w:r>
      <w:r w:rsidR="00300D45">
        <w:rPr>
          <w:lang w:val="fr-FR"/>
        </w:rPr>
        <w:t>’</w:t>
      </w:r>
      <w:r>
        <w:rPr>
          <w:lang w:val="fr-FR"/>
        </w:rPr>
        <w:t>un juge de Latina, X. Le 3 mars 1997, la police saisit un pistolet, trouvé en possession d</w:t>
      </w:r>
      <w:r w:rsidR="00300D45">
        <w:rPr>
          <w:lang w:val="fr-FR"/>
        </w:rPr>
        <w:t>’</w:t>
      </w:r>
      <w:r>
        <w:rPr>
          <w:lang w:val="fr-FR"/>
        </w:rPr>
        <w:t xml:space="preserve">un certain Y. Un expert en </w:t>
      </w:r>
      <w:r>
        <w:rPr>
          <w:lang w:val="fr-FR"/>
        </w:rPr>
        <w:lastRenderedPageBreak/>
        <w:t>balistique nommé par le parquet, Z, examina le pistolet, effectua des épreuves de tir et compara les résultats avec les projectiles trouvés à l</w:t>
      </w:r>
      <w:r w:rsidR="00300D45">
        <w:rPr>
          <w:lang w:val="fr-FR"/>
        </w:rPr>
        <w:t>’</w:t>
      </w:r>
      <w:r>
        <w:rPr>
          <w:lang w:val="fr-FR"/>
        </w:rPr>
        <w:t>intérieur de la voiture endommagée. Z conclut qu</w:t>
      </w:r>
      <w:r w:rsidR="00300D45">
        <w:rPr>
          <w:lang w:val="fr-FR"/>
        </w:rPr>
        <w:t>’</w:t>
      </w:r>
      <w:r>
        <w:rPr>
          <w:lang w:val="fr-FR"/>
        </w:rPr>
        <w:t>il s</w:t>
      </w:r>
      <w:r w:rsidR="00300D45">
        <w:rPr>
          <w:lang w:val="fr-FR"/>
        </w:rPr>
        <w:t>’</w:t>
      </w:r>
      <w:r>
        <w:rPr>
          <w:lang w:val="fr-FR"/>
        </w:rPr>
        <w:t>agissait de l</w:t>
      </w:r>
      <w:r w:rsidR="00300D45">
        <w:rPr>
          <w:lang w:val="fr-FR"/>
        </w:rPr>
        <w:t>’</w:t>
      </w:r>
      <w:r>
        <w:rPr>
          <w:lang w:val="fr-FR"/>
        </w:rPr>
        <w:t>arme qui avait été utilisée pour endommager la voiture de l</w:t>
      </w:r>
      <w:r w:rsidR="00300D45">
        <w:rPr>
          <w:lang w:val="fr-FR"/>
        </w:rPr>
        <w:t>’</w:t>
      </w:r>
      <w:r>
        <w:rPr>
          <w:lang w:val="fr-FR"/>
        </w:rPr>
        <w:t>épouse du juge X.</w:t>
      </w:r>
    </w:p>
    <w:p w:rsidR="00EC5477" w:rsidRDefault="00EC5477" w:rsidP="00B56E2E">
      <w:pPr>
        <w:pStyle w:val="ECHRPara"/>
        <w:rPr>
          <w:lang w:val="fr-FR"/>
        </w:rPr>
      </w:pPr>
      <w:r>
        <w:rPr>
          <w:lang w:val="fr-FR"/>
        </w:rPr>
        <w:t>4.  Y demanda à être jugé selon la procédure abrégée (</w:t>
      </w:r>
      <w:r>
        <w:rPr>
          <w:i/>
          <w:lang w:val="fr-FR"/>
        </w:rPr>
        <w:t>giudizio abbreviato</w:t>
      </w:r>
      <w:r>
        <w:rPr>
          <w:lang w:val="fr-FR"/>
        </w:rPr>
        <w:t xml:space="preserve">), </w:t>
      </w:r>
      <w:r w:rsidRPr="00183752">
        <w:rPr>
          <w:lang w:val="fr-FR"/>
        </w:rPr>
        <w:t>une démarche simplifiée entraînant, en cas de condamnation, une réduction de peine</w:t>
      </w:r>
      <w:r>
        <w:rPr>
          <w:lang w:val="fr-FR"/>
        </w:rPr>
        <w:t xml:space="preserve"> (voir la description du droit interne pertinent dans </w:t>
      </w:r>
      <w:r w:rsidRPr="00D078F6">
        <w:rPr>
          <w:i/>
          <w:lang w:val="fr-FR"/>
        </w:rPr>
        <w:t>Hermi c.</w:t>
      </w:r>
      <w:r w:rsidR="008024BF">
        <w:rPr>
          <w:i/>
          <w:lang w:val="fr-FR"/>
        </w:rPr>
        <w:t xml:space="preserve"> </w:t>
      </w:r>
      <w:r w:rsidRPr="00D078F6">
        <w:rPr>
          <w:i/>
          <w:lang w:val="fr-FR"/>
        </w:rPr>
        <w:t xml:space="preserve">Italie </w:t>
      </w:r>
      <w:r w:rsidRPr="00D078F6">
        <w:rPr>
          <w:lang w:val="fr-FR"/>
        </w:rPr>
        <w:t>([GC], n</w:t>
      </w:r>
      <w:r w:rsidRPr="00D078F6">
        <w:rPr>
          <w:vertAlign w:val="superscript"/>
          <w:lang w:val="fr-FR"/>
        </w:rPr>
        <w:t>o</w:t>
      </w:r>
      <w:r w:rsidR="008024BF">
        <w:rPr>
          <w:vertAlign w:val="superscript"/>
          <w:lang w:val="fr-FR"/>
        </w:rPr>
        <w:t xml:space="preserve"> </w:t>
      </w:r>
      <w:r w:rsidRPr="00D078F6">
        <w:rPr>
          <w:lang w:val="fr-FR"/>
        </w:rPr>
        <w:t>18114/02, §§ 27-28, CEDH 2006</w:t>
      </w:r>
      <w:r w:rsidRPr="00D078F6">
        <w:rPr>
          <w:lang w:val="fr-FR"/>
        </w:rPr>
        <w:noBreakHyphen/>
      </w:r>
      <w:r>
        <w:rPr>
          <w:lang w:val="fr-FR"/>
        </w:rPr>
        <w:t>XII, et</w:t>
      </w:r>
      <w:r w:rsidRPr="00183752">
        <w:rPr>
          <w:lang w:val="fr-FR"/>
        </w:rPr>
        <w:t xml:space="preserve"> </w:t>
      </w:r>
      <w:r w:rsidRPr="00183752">
        <w:rPr>
          <w:i/>
          <w:lang w:val="fr-FR"/>
        </w:rPr>
        <w:t>Scoppola c.</w:t>
      </w:r>
      <w:r>
        <w:rPr>
          <w:i/>
          <w:lang w:val="fr-FR"/>
        </w:rPr>
        <w:t> </w:t>
      </w:r>
      <w:r w:rsidRPr="00183752">
        <w:rPr>
          <w:i/>
          <w:lang w:val="fr-FR"/>
        </w:rPr>
        <w:t>Italie (n</w:t>
      </w:r>
      <w:r w:rsidRPr="00EC5477">
        <w:rPr>
          <w:i/>
          <w:vertAlign w:val="superscript"/>
          <w:lang w:val="fr-FR"/>
        </w:rPr>
        <w:t>o</w:t>
      </w:r>
      <w:r w:rsidRPr="00183752">
        <w:rPr>
          <w:i/>
          <w:lang w:val="fr-FR"/>
        </w:rPr>
        <w:t xml:space="preserve"> 2)</w:t>
      </w:r>
      <w:r w:rsidRPr="00183752">
        <w:rPr>
          <w:lang w:val="fr-FR"/>
        </w:rPr>
        <w:t xml:space="preserve"> [GC], n</w:t>
      </w:r>
      <w:r w:rsidRPr="00EC5477">
        <w:rPr>
          <w:vertAlign w:val="superscript"/>
          <w:lang w:val="fr-FR"/>
        </w:rPr>
        <w:t>o</w:t>
      </w:r>
      <w:r w:rsidR="008024BF">
        <w:rPr>
          <w:lang w:val="fr-FR"/>
        </w:rPr>
        <w:t xml:space="preserve"> </w:t>
      </w:r>
      <w:r>
        <w:rPr>
          <w:lang w:val="fr-FR"/>
        </w:rPr>
        <w:t>10249/03</w:t>
      </w:r>
      <w:r w:rsidRPr="00183752">
        <w:rPr>
          <w:lang w:val="fr-FR"/>
        </w:rPr>
        <w:t>, §§ 27-28, 17</w:t>
      </w:r>
      <w:r w:rsidR="008024BF">
        <w:rPr>
          <w:lang w:val="fr-FR"/>
        </w:rPr>
        <w:t xml:space="preserve"> </w:t>
      </w:r>
      <w:r w:rsidRPr="00183752">
        <w:rPr>
          <w:lang w:val="fr-FR"/>
        </w:rPr>
        <w:t>septembre 2009</w:t>
      </w:r>
      <w:r>
        <w:rPr>
          <w:lang w:val="fr-FR"/>
        </w:rPr>
        <w:t>). Cette demande fut accueillie et Y fut condamné comme étant l</w:t>
      </w:r>
      <w:r w:rsidR="00300D45">
        <w:rPr>
          <w:lang w:val="fr-FR"/>
        </w:rPr>
        <w:t>’</w:t>
      </w:r>
      <w:r>
        <w:rPr>
          <w:lang w:val="fr-FR"/>
        </w:rPr>
        <w:t>auteur des faits du 25 février 1997. Cette condamnation devint définitive.</w:t>
      </w:r>
    </w:p>
    <w:p w:rsidR="00EC5477" w:rsidRDefault="00EC5477" w:rsidP="00B56E2E">
      <w:pPr>
        <w:pStyle w:val="ECHRPara"/>
        <w:rPr>
          <w:lang w:val="fr-FR"/>
        </w:rPr>
      </w:pPr>
      <w:r>
        <w:rPr>
          <w:lang w:val="fr-FR"/>
        </w:rPr>
        <w:t>5.  Des poursuites furent ouvertes également contre le requérant, soupçonné d</w:t>
      </w:r>
      <w:r w:rsidR="00300D45">
        <w:rPr>
          <w:lang w:val="fr-FR"/>
        </w:rPr>
        <w:t>’</w:t>
      </w:r>
      <w:r>
        <w:rPr>
          <w:lang w:val="fr-FR"/>
        </w:rPr>
        <w:t>être l</w:t>
      </w:r>
      <w:r w:rsidR="00300D45">
        <w:rPr>
          <w:lang w:val="fr-FR"/>
        </w:rPr>
        <w:t>’</w:t>
      </w:r>
      <w:r>
        <w:rPr>
          <w:lang w:val="fr-FR"/>
        </w:rPr>
        <w:t>instigateur des actions de Y. Il fut accusé de port et détention d</w:t>
      </w:r>
      <w:r w:rsidR="00300D45">
        <w:rPr>
          <w:lang w:val="fr-FR"/>
        </w:rPr>
        <w:t>’</w:t>
      </w:r>
      <w:r>
        <w:rPr>
          <w:lang w:val="fr-FR"/>
        </w:rPr>
        <w:t>arme à feu prohibés, dégradation de la chose d</w:t>
      </w:r>
      <w:r w:rsidR="00300D45">
        <w:rPr>
          <w:lang w:val="fr-FR"/>
        </w:rPr>
        <w:t>’</w:t>
      </w:r>
      <w:r>
        <w:rPr>
          <w:lang w:val="fr-FR"/>
        </w:rPr>
        <w:t>autrui et menaces, infractions que selon la thèse du parquet avaient été commises en complicité avec Y.</w:t>
      </w:r>
    </w:p>
    <w:p w:rsidR="00EC5477" w:rsidRDefault="00EC5477" w:rsidP="00B56E2E">
      <w:pPr>
        <w:pStyle w:val="ECHRPara"/>
        <w:rPr>
          <w:lang w:val="fr-FR"/>
        </w:rPr>
      </w:pPr>
      <w:r>
        <w:rPr>
          <w:lang w:val="fr-FR"/>
        </w:rPr>
        <w:t>6.  Le requérant fut renvoyé en jugement devant le tribunal de Pérouse. Au cours des débats, le requérant et des nombreux témoins furent interrogés. Le requérant était représenté par deux avocats de son choix, M</w:t>
      </w:r>
      <w:r w:rsidRPr="00C75C02">
        <w:rPr>
          <w:vertAlign w:val="superscript"/>
          <w:lang w:val="fr-FR"/>
        </w:rPr>
        <w:t>es</w:t>
      </w:r>
      <w:r>
        <w:rPr>
          <w:vertAlign w:val="superscript"/>
          <w:lang w:val="fr-FR"/>
        </w:rPr>
        <w:t> </w:t>
      </w:r>
      <w:r>
        <w:rPr>
          <w:lang w:val="fr-FR"/>
        </w:rPr>
        <w:t>A et B.</w:t>
      </w:r>
    </w:p>
    <w:p w:rsidR="00EC5477" w:rsidRDefault="00EC5477" w:rsidP="00B56E2E">
      <w:pPr>
        <w:pStyle w:val="ECHRPara"/>
        <w:rPr>
          <w:lang w:val="fr-FR"/>
        </w:rPr>
      </w:pPr>
      <w:r>
        <w:rPr>
          <w:lang w:val="fr-FR"/>
        </w:rPr>
        <w:t>7.  Par un jugement du 10 mars 2006, dont le texte fut déposé au greffe le 29 mai 2006, le tribunal de Pérouse condamna le requérant pour port et détention d</w:t>
      </w:r>
      <w:r w:rsidR="00300D45">
        <w:rPr>
          <w:lang w:val="fr-FR"/>
        </w:rPr>
        <w:t>’</w:t>
      </w:r>
      <w:r>
        <w:rPr>
          <w:lang w:val="fr-FR"/>
        </w:rPr>
        <w:t>arme à feu prohibés et dégradation de la chose d</w:t>
      </w:r>
      <w:r w:rsidR="00300D45">
        <w:rPr>
          <w:lang w:val="fr-FR"/>
        </w:rPr>
        <w:t>’</w:t>
      </w:r>
      <w:r>
        <w:rPr>
          <w:lang w:val="fr-FR"/>
        </w:rPr>
        <w:t>autrui à une peine de deux ans et huit mois d</w:t>
      </w:r>
      <w:r w:rsidR="00300D45">
        <w:rPr>
          <w:lang w:val="fr-FR"/>
        </w:rPr>
        <w:t>’</w:t>
      </w:r>
      <w:r>
        <w:rPr>
          <w:lang w:val="fr-FR"/>
        </w:rPr>
        <w:t>emprisonnement et 300 euros (EUR) d</w:t>
      </w:r>
      <w:r w:rsidR="00300D45">
        <w:rPr>
          <w:lang w:val="fr-FR"/>
        </w:rPr>
        <w:t>’</w:t>
      </w:r>
      <w:r>
        <w:rPr>
          <w:lang w:val="fr-FR"/>
        </w:rPr>
        <w:t>amende. Le requérant bénéficia d</w:t>
      </w:r>
      <w:r w:rsidR="00300D45">
        <w:rPr>
          <w:lang w:val="fr-FR"/>
        </w:rPr>
        <w:t>’</w:t>
      </w:r>
      <w:r>
        <w:rPr>
          <w:lang w:val="fr-FR"/>
        </w:rPr>
        <w:t>un non-lieu pour cause de prescription quant à l</w:t>
      </w:r>
      <w:r w:rsidR="00300D45">
        <w:rPr>
          <w:lang w:val="fr-FR"/>
        </w:rPr>
        <w:t>’</w:t>
      </w:r>
      <w:r>
        <w:rPr>
          <w:lang w:val="fr-FR"/>
        </w:rPr>
        <w:t>infraction de menaces.</w:t>
      </w:r>
    </w:p>
    <w:p w:rsidR="00EC5477" w:rsidRDefault="00EC5477" w:rsidP="00B56E2E">
      <w:pPr>
        <w:pStyle w:val="ECHRPara"/>
        <w:rPr>
          <w:lang w:val="fr-FR"/>
        </w:rPr>
      </w:pPr>
      <w:r>
        <w:rPr>
          <w:lang w:val="fr-FR"/>
        </w:rPr>
        <w:t>8.  Sur la base des documents versés au dossier et des déclarations faites à l</w:t>
      </w:r>
      <w:r w:rsidR="00300D45">
        <w:rPr>
          <w:lang w:val="fr-FR"/>
        </w:rPr>
        <w:t>’</w:t>
      </w:r>
      <w:r>
        <w:rPr>
          <w:lang w:val="fr-FR"/>
        </w:rPr>
        <w:t>audience par les témoins, et notamment par W, fiancée de Y, le tribunal établit que : a) Y avait reçu du requérant le pistolet utilisé pour endommager la voiture de l</w:t>
      </w:r>
      <w:r w:rsidR="00300D45">
        <w:rPr>
          <w:lang w:val="fr-FR"/>
        </w:rPr>
        <w:t>’</w:t>
      </w:r>
      <w:r>
        <w:rPr>
          <w:lang w:val="fr-FR"/>
        </w:rPr>
        <w:t>épouse du juge X ; b) le requérant, inséré dans un milieu criminel, avait de l</w:t>
      </w:r>
      <w:r w:rsidR="00300D45">
        <w:rPr>
          <w:lang w:val="fr-FR"/>
        </w:rPr>
        <w:t>’</w:t>
      </w:r>
      <w:r>
        <w:rPr>
          <w:lang w:val="fr-FR"/>
        </w:rPr>
        <w:t>animosité envers le juge X, qui avait rédigé l</w:t>
      </w:r>
      <w:r w:rsidR="00300D45">
        <w:rPr>
          <w:lang w:val="fr-FR"/>
        </w:rPr>
        <w:t>’</w:t>
      </w:r>
      <w:r>
        <w:rPr>
          <w:lang w:val="fr-FR"/>
        </w:rPr>
        <w:t>ordonnance le soumettant à la mesure de prévention de la surveillance spéciale pour une durée de quatre ans ; c) le requérant avait pris connaissance du contenu de cette ordonnance le 25 février 1997 ; d) le requérant exerçait une certaine influence sur un groupe de jeunes délinquants, parmi lesquels Y ; et e) le requérant et Y s</w:t>
      </w:r>
      <w:r w:rsidR="00300D45">
        <w:rPr>
          <w:lang w:val="fr-FR"/>
        </w:rPr>
        <w:t>’</w:t>
      </w:r>
      <w:r>
        <w:rPr>
          <w:lang w:val="fr-FR"/>
        </w:rPr>
        <w:t>étaient rencontrés dans un restaurant peu avant les faits délictueux. Ces éléments suffisaient au tribunal pour conclure que le requérant était l</w:t>
      </w:r>
      <w:r w:rsidR="00300D45">
        <w:rPr>
          <w:lang w:val="fr-FR"/>
        </w:rPr>
        <w:t>’</w:t>
      </w:r>
      <w:r>
        <w:rPr>
          <w:lang w:val="fr-FR"/>
        </w:rPr>
        <w:t>instigateur des actions de Y.</w:t>
      </w:r>
    </w:p>
    <w:p w:rsidR="00EC5477" w:rsidRDefault="00EC5477" w:rsidP="00B56E2E">
      <w:pPr>
        <w:pStyle w:val="ECHRPara"/>
        <w:rPr>
          <w:lang w:val="fr-FR"/>
        </w:rPr>
      </w:pPr>
      <w:bookmarkStart w:id="2" w:name="appelloricorrente"/>
      <w:r>
        <w:rPr>
          <w:lang w:val="fr-FR"/>
        </w:rPr>
        <w:t>9</w:t>
      </w:r>
      <w:bookmarkEnd w:id="2"/>
      <w:r>
        <w:rPr>
          <w:lang w:val="fr-FR"/>
        </w:rPr>
        <w:t>.  Le requérant interjeta appel par l</w:t>
      </w:r>
      <w:r w:rsidR="00300D45">
        <w:rPr>
          <w:lang w:val="fr-FR"/>
        </w:rPr>
        <w:t>’</w:t>
      </w:r>
      <w:r>
        <w:rPr>
          <w:lang w:val="fr-FR"/>
        </w:rPr>
        <w:t>intermédiaire de M</w:t>
      </w:r>
      <w:r w:rsidRPr="00C75C02">
        <w:rPr>
          <w:vertAlign w:val="superscript"/>
          <w:lang w:val="fr-FR"/>
        </w:rPr>
        <w:t>e</w:t>
      </w:r>
      <w:r>
        <w:rPr>
          <w:lang w:val="fr-FR"/>
        </w:rPr>
        <w:t xml:space="preserve"> A. Il allégua, entre autres, que les modalités de la saisie du pistolet donnaient lieu à des doutes quant à la question de savoir s</w:t>
      </w:r>
      <w:r w:rsidR="00300D45">
        <w:rPr>
          <w:lang w:val="fr-FR"/>
        </w:rPr>
        <w:t>’</w:t>
      </w:r>
      <w:r>
        <w:rPr>
          <w:lang w:val="fr-FR"/>
        </w:rPr>
        <w:t>il s</w:t>
      </w:r>
      <w:r w:rsidR="00300D45">
        <w:rPr>
          <w:lang w:val="fr-FR"/>
        </w:rPr>
        <w:t>’</w:t>
      </w:r>
      <w:r>
        <w:rPr>
          <w:lang w:val="fr-FR"/>
        </w:rPr>
        <w:t>agissait effectivement de l</w:t>
      </w:r>
      <w:r w:rsidR="00300D45">
        <w:rPr>
          <w:lang w:val="fr-FR"/>
        </w:rPr>
        <w:t>’</w:t>
      </w:r>
      <w:r>
        <w:rPr>
          <w:lang w:val="fr-FR"/>
        </w:rPr>
        <w:t>arme utilisée pour endommager la voiture de l</w:t>
      </w:r>
      <w:r w:rsidR="00300D45">
        <w:rPr>
          <w:lang w:val="fr-FR"/>
        </w:rPr>
        <w:t>’</w:t>
      </w:r>
      <w:r>
        <w:rPr>
          <w:lang w:val="fr-FR"/>
        </w:rPr>
        <w:t>épouse du juge X.</w:t>
      </w:r>
    </w:p>
    <w:p w:rsidR="00EC5477" w:rsidRDefault="00EC5477" w:rsidP="00B56E2E">
      <w:pPr>
        <w:pStyle w:val="ECHRPara"/>
        <w:rPr>
          <w:lang w:val="fr-FR"/>
        </w:rPr>
      </w:pPr>
      <w:bookmarkStart w:id="3" w:name="rinvioprimaudienzaappello"/>
      <w:r>
        <w:rPr>
          <w:lang w:val="fr-FR"/>
        </w:rPr>
        <w:t>10</w:t>
      </w:r>
      <w:bookmarkEnd w:id="3"/>
      <w:r>
        <w:rPr>
          <w:lang w:val="fr-FR"/>
        </w:rPr>
        <w:t xml:space="preserve">.  La première audience, fixée au 21 janvier 2011, fut renvoyée au 17 juin 2011 à la demande de la défense, qui produisit un certificat médical </w:t>
      </w:r>
      <w:r>
        <w:rPr>
          <w:lang w:val="fr-FR"/>
        </w:rPr>
        <w:lastRenderedPageBreak/>
        <w:t>attestant que le requérant était malade. Le requérant ne se présenta pas à l</w:t>
      </w:r>
      <w:r w:rsidR="00300D45">
        <w:rPr>
          <w:lang w:val="fr-FR"/>
        </w:rPr>
        <w:t>’</w:t>
      </w:r>
      <w:r>
        <w:rPr>
          <w:lang w:val="fr-FR"/>
        </w:rPr>
        <w:t>audience du 17 juin 2011, et fut déclaré contumax. Le représentant du parquet et M</w:t>
      </w:r>
      <w:r w:rsidRPr="00C138CD">
        <w:rPr>
          <w:vertAlign w:val="superscript"/>
          <w:lang w:val="fr-FR"/>
        </w:rPr>
        <w:t>e</w:t>
      </w:r>
      <w:r>
        <w:rPr>
          <w:lang w:val="fr-FR"/>
        </w:rPr>
        <w:t xml:space="preserve"> A présentèrent ensuite leurs plaidoiries.</w:t>
      </w:r>
    </w:p>
    <w:p w:rsidR="00EC5477" w:rsidRDefault="00EC5477" w:rsidP="00B56E2E">
      <w:pPr>
        <w:pStyle w:val="ECHRPara"/>
        <w:rPr>
          <w:lang w:val="fr-FR"/>
        </w:rPr>
      </w:pPr>
      <w:r>
        <w:rPr>
          <w:lang w:val="fr-FR"/>
        </w:rPr>
        <w:t>11.  Par un arrêt du 17 juin 2011, dont le texte fut déposé au greffe le 12 décembre 2011, la cour d</w:t>
      </w:r>
      <w:r w:rsidR="00300D45">
        <w:rPr>
          <w:lang w:val="fr-FR"/>
        </w:rPr>
        <w:t>’</w:t>
      </w:r>
      <w:r>
        <w:rPr>
          <w:lang w:val="fr-FR"/>
        </w:rPr>
        <w:t>appel de Pérouse prononça un non-lieu pour cause de prescription pour l</w:t>
      </w:r>
      <w:r w:rsidR="00300D45">
        <w:rPr>
          <w:lang w:val="fr-FR"/>
        </w:rPr>
        <w:t>’</w:t>
      </w:r>
      <w:r>
        <w:rPr>
          <w:lang w:val="fr-FR"/>
        </w:rPr>
        <w:t>infraction de dégradation de la chose d</w:t>
      </w:r>
      <w:r w:rsidR="00300D45">
        <w:rPr>
          <w:lang w:val="fr-FR"/>
        </w:rPr>
        <w:t>’</w:t>
      </w:r>
      <w:r>
        <w:rPr>
          <w:lang w:val="fr-FR"/>
        </w:rPr>
        <w:t>autrui. Elle confirma la condamnation du requérant pour port et détention d</w:t>
      </w:r>
      <w:r w:rsidR="00300D45">
        <w:rPr>
          <w:lang w:val="fr-FR"/>
        </w:rPr>
        <w:t>’</w:t>
      </w:r>
      <w:r>
        <w:rPr>
          <w:lang w:val="fr-FR"/>
        </w:rPr>
        <w:t>arme à feu prohibés et réduisit la peine infligée à deux ans et six mois d</w:t>
      </w:r>
      <w:r w:rsidR="00300D45">
        <w:rPr>
          <w:lang w:val="fr-FR"/>
        </w:rPr>
        <w:t>’</w:t>
      </w:r>
      <w:r>
        <w:rPr>
          <w:lang w:val="fr-FR"/>
        </w:rPr>
        <w:t>emprisonnement et 260 EUR d</w:t>
      </w:r>
      <w:r w:rsidR="00300D45">
        <w:rPr>
          <w:lang w:val="fr-FR"/>
        </w:rPr>
        <w:t>’</w:t>
      </w:r>
      <w:r>
        <w:rPr>
          <w:lang w:val="fr-FR"/>
        </w:rPr>
        <w:t>amende.</w:t>
      </w:r>
    </w:p>
    <w:p w:rsidR="00EC5477" w:rsidRDefault="00EC5477" w:rsidP="00B56E2E">
      <w:pPr>
        <w:pStyle w:val="ECHRPara"/>
        <w:rPr>
          <w:lang w:val="fr-FR"/>
        </w:rPr>
      </w:pPr>
      <w:r>
        <w:rPr>
          <w:lang w:val="fr-FR"/>
        </w:rPr>
        <w:t>12.  La cour d</w:t>
      </w:r>
      <w:r w:rsidR="00300D45">
        <w:rPr>
          <w:lang w:val="fr-FR"/>
        </w:rPr>
        <w:t>’</w:t>
      </w:r>
      <w:r>
        <w:rPr>
          <w:lang w:val="fr-FR"/>
        </w:rPr>
        <w:t>appel estima que les critiques du requérant envers le jugement de première instance n</w:t>
      </w:r>
      <w:r w:rsidR="00300D45">
        <w:rPr>
          <w:lang w:val="fr-FR"/>
        </w:rPr>
        <w:t>’</w:t>
      </w:r>
      <w:r>
        <w:rPr>
          <w:lang w:val="fr-FR"/>
        </w:rPr>
        <w:t>étaient pas fondées, le tribunal ayant basé ses conclusions sur une lecture correcte des éléments de preuve. En particulier, compte tenu des témoignages des agents de police et d</w:t>
      </w:r>
      <w:r w:rsidR="00300D45">
        <w:rPr>
          <w:lang w:val="fr-FR"/>
        </w:rPr>
        <w:t>’</w:t>
      </w:r>
      <w:r>
        <w:rPr>
          <w:lang w:val="fr-FR"/>
        </w:rPr>
        <w:t>un informateur ainsi que de l</w:t>
      </w:r>
      <w:r w:rsidR="00300D45">
        <w:rPr>
          <w:lang w:val="fr-FR"/>
        </w:rPr>
        <w:t>’</w:t>
      </w:r>
      <w:r>
        <w:rPr>
          <w:lang w:val="fr-FR"/>
        </w:rPr>
        <w:t>expertise balistique effectuée par Z, il était établi que le pistolet saisi en possession de Y était l</w:t>
      </w:r>
      <w:r w:rsidR="00300D45">
        <w:rPr>
          <w:lang w:val="fr-FR"/>
        </w:rPr>
        <w:t>’</w:t>
      </w:r>
      <w:r>
        <w:rPr>
          <w:lang w:val="fr-FR"/>
        </w:rPr>
        <w:t>arme qui avait tiré contre la voiture litigieuse. Par ailleurs, rien ne permettait de penser que, comme l</w:t>
      </w:r>
      <w:r w:rsidR="00300D45">
        <w:rPr>
          <w:lang w:val="fr-FR"/>
        </w:rPr>
        <w:t>’</w:t>
      </w:r>
      <w:r>
        <w:rPr>
          <w:lang w:val="fr-FR"/>
        </w:rPr>
        <w:t>insinuait le requérant, cette arme eût été remplacée lorsqu</w:t>
      </w:r>
      <w:r w:rsidR="00300D45">
        <w:rPr>
          <w:lang w:val="fr-FR"/>
        </w:rPr>
        <w:t>’</w:t>
      </w:r>
      <w:r>
        <w:rPr>
          <w:lang w:val="fr-FR"/>
        </w:rPr>
        <w:t>elle se trouvait en possession de la Préfecture. La cour d</w:t>
      </w:r>
      <w:r w:rsidR="00300D45">
        <w:rPr>
          <w:lang w:val="fr-FR"/>
        </w:rPr>
        <w:t>’</w:t>
      </w:r>
      <w:r>
        <w:rPr>
          <w:lang w:val="fr-FR"/>
        </w:rPr>
        <w:t>appel estima également que les déclarations de W, qui permettaient d</w:t>
      </w:r>
      <w:r w:rsidR="00300D45">
        <w:rPr>
          <w:lang w:val="fr-FR"/>
        </w:rPr>
        <w:t>’</w:t>
      </w:r>
      <w:r>
        <w:rPr>
          <w:lang w:val="fr-FR"/>
        </w:rPr>
        <w:t>identifier le requérant comme la personne ayant donné le pistolet à Y, étaient crédibles et n</w:t>
      </w:r>
      <w:r w:rsidR="00300D45">
        <w:rPr>
          <w:lang w:val="fr-FR"/>
        </w:rPr>
        <w:t>’</w:t>
      </w:r>
      <w:r>
        <w:rPr>
          <w:lang w:val="fr-FR"/>
        </w:rPr>
        <w:t>avaient pas été influencées par des sources extérieures.</w:t>
      </w:r>
    </w:p>
    <w:p w:rsidR="00EC5477" w:rsidRDefault="00EC5477" w:rsidP="00B56E2E">
      <w:pPr>
        <w:pStyle w:val="ECHRPara"/>
        <w:rPr>
          <w:lang w:val="fr-FR"/>
        </w:rPr>
      </w:pPr>
      <w:r>
        <w:rPr>
          <w:lang w:val="fr-FR"/>
        </w:rPr>
        <w:t>13.  Le requérant se pourvut en cassation par l</w:t>
      </w:r>
      <w:r w:rsidR="00300D45">
        <w:rPr>
          <w:lang w:val="fr-FR"/>
        </w:rPr>
        <w:t>’</w:t>
      </w:r>
      <w:r>
        <w:rPr>
          <w:lang w:val="fr-FR"/>
        </w:rPr>
        <w:t>intermédiaire de M</w:t>
      </w:r>
      <w:r w:rsidRPr="007E5F26">
        <w:rPr>
          <w:vertAlign w:val="superscript"/>
          <w:lang w:val="fr-FR"/>
        </w:rPr>
        <w:t>e</w:t>
      </w:r>
      <w:r>
        <w:rPr>
          <w:lang w:val="fr-FR"/>
        </w:rPr>
        <w:t xml:space="preserve"> A. Il allégua, entre autres, que les juges d</w:t>
      </w:r>
      <w:r w:rsidR="00300D45">
        <w:rPr>
          <w:lang w:val="fr-FR"/>
        </w:rPr>
        <w:t>’</w:t>
      </w:r>
      <w:r>
        <w:rPr>
          <w:lang w:val="fr-FR"/>
        </w:rPr>
        <w:t>appel n</w:t>
      </w:r>
      <w:r w:rsidR="00300D45">
        <w:rPr>
          <w:lang w:val="fr-FR"/>
        </w:rPr>
        <w:t>’</w:t>
      </w:r>
      <w:r>
        <w:rPr>
          <w:lang w:val="fr-FR"/>
        </w:rPr>
        <w:t>avaient pas dûment motivé sa condamnation et se plaignit de ne pas avoir été informé de la date des débats d</w:t>
      </w:r>
      <w:r w:rsidR="00300D45">
        <w:rPr>
          <w:lang w:val="fr-FR"/>
        </w:rPr>
        <w:t>’</w:t>
      </w:r>
      <w:r>
        <w:rPr>
          <w:lang w:val="fr-FR"/>
        </w:rPr>
        <w:t xml:space="preserve">appel. </w:t>
      </w:r>
      <w:r>
        <w:rPr>
          <w:rFonts w:cstheme="minorHAnsi"/>
          <w:lang w:val="fr-FR"/>
        </w:rPr>
        <w:t>À</w:t>
      </w:r>
      <w:r>
        <w:rPr>
          <w:lang w:val="fr-FR"/>
        </w:rPr>
        <w:t xml:space="preserve"> cet égard, il observa que son conseil, M</w:t>
      </w:r>
      <w:r w:rsidRPr="007E5F26">
        <w:rPr>
          <w:vertAlign w:val="superscript"/>
          <w:lang w:val="fr-FR"/>
        </w:rPr>
        <w:t>e</w:t>
      </w:r>
      <w:r>
        <w:rPr>
          <w:lang w:val="fr-FR"/>
        </w:rPr>
        <w:t xml:space="preserve"> A, avait refusé au nom de son client la notification de l</w:t>
      </w:r>
      <w:r w:rsidR="00300D45">
        <w:rPr>
          <w:lang w:val="fr-FR"/>
        </w:rPr>
        <w:t>’</w:t>
      </w:r>
      <w:r>
        <w:rPr>
          <w:lang w:val="fr-FR"/>
        </w:rPr>
        <w:t>avis de fixation de l</w:t>
      </w:r>
      <w:r w:rsidR="00300D45">
        <w:rPr>
          <w:lang w:val="fr-FR"/>
        </w:rPr>
        <w:t>’</w:t>
      </w:r>
      <w:r>
        <w:rPr>
          <w:lang w:val="fr-FR"/>
        </w:rPr>
        <w:t>audience du 17</w:t>
      </w:r>
      <w:r w:rsidR="008024BF">
        <w:rPr>
          <w:lang w:val="fr-FR"/>
        </w:rPr>
        <w:t xml:space="preserve"> </w:t>
      </w:r>
      <w:r>
        <w:rPr>
          <w:lang w:val="fr-FR"/>
        </w:rPr>
        <w:t>juin 2011, exerçant ainsi la faculté qui lui était reconnue par l</w:t>
      </w:r>
      <w:r w:rsidR="00300D45">
        <w:rPr>
          <w:lang w:val="fr-FR"/>
        </w:rPr>
        <w:t>’</w:t>
      </w:r>
      <w:r>
        <w:rPr>
          <w:lang w:val="fr-FR"/>
        </w:rPr>
        <w:t>article 157 § 8</w:t>
      </w:r>
      <w:r>
        <w:rPr>
          <w:i/>
          <w:lang w:val="fr-FR"/>
        </w:rPr>
        <w:t xml:space="preserve">bis </w:t>
      </w:r>
      <w:r>
        <w:rPr>
          <w:lang w:val="fr-FR"/>
        </w:rPr>
        <w:t>du code de procédure pénale (ci-après, le « CPP » – paragraphe</w:t>
      </w:r>
      <w:r w:rsidR="008024BF">
        <w:rPr>
          <w:lang w:val="fr-FR"/>
        </w:rPr>
        <w:t xml:space="preserve"> </w:t>
      </w:r>
      <w:r>
        <w:rPr>
          <w:rFonts w:ascii="Lato" w:eastAsia="Times New Roman" w:hAnsi="Lato"/>
          <w:color w:val="0C0C0F"/>
          <w:sz w:val="26"/>
          <w:szCs w:val="26"/>
          <w:lang w:val="fr-FR" w:eastAsia="fr-FR"/>
        </w:rPr>
        <w:t>19</w:t>
      </w:r>
      <w:r>
        <w:rPr>
          <w:lang w:val="fr-FR"/>
        </w:rPr>
        <w:t xml:space="preserve"> ci</w:t>
      </w:r>
      <w:r w:rsidR="008024BF">
        <w:rPr>
          <w:lang w:val="fr-FR"/>
        </w:rPr>
        <w:noBreakHyphen/>
      </w:r>
      <w:r>
        <w:rPr>
          <w:lang w:val="fr-FR"/>
        </w:rPr>
        <w:t>après). Il s</w:t>
      </w:r>
      <w:r w:rsidR="00300D45">
        <w:rPr>
          <w:lang w:val="fr-FR"/>
        </w:rPr>
        <w:t>’</w:t>
      </w:r>
      <w:r>
        <w:rPr>
          <w:lang w:val="fr-FR"/>
        </w:rPr>
        <w:t>ensuivait que cette notification n</w:t>
      </w:r>
      <w:r w:rsidR="00300D45">
        <w:rPr>
          <w:lang w:val="fr-FR"/>
        </w:rPr>
        <w:t>’</w:t>
      </w:r>
      <w:r>
        <w:rPr>
          <w:lang w:val="fr-FR"/>
        </w:rPr>
        <w:t>était pas régulière. Le requérant estima également que le juge d</w:t>
      </w:r>
      <w:r w:rsidR="00300D45">
        <w:rPr>
          <w:lang w:val="fr-FR"/>
        </w:rPr>
        <w:t>’</w:t>
      </w:r>
      <w:r>
        <w:rPr>
          <w:lang w:val="fr-FR"/>
        </w:rPr>
        <w:t>appel aurait dû rouvrir l</w:t>
      </w:r>
      <w:r w:rsidR="00300D45">
        <w:rPr>
          <w:lang w:val="fr-FR"/>
        </w:rPr>
        <w:t>’</w:t>
      </w:r>
      <w:r>
        <w:rPr>
          <w:lang w:val="fr-FR"/>
        </w:rPr>
        <w:t>instruction et que les infractions qui lui étaient reprochées étaient prescrites.</w:t>
      </w:r>
    </w:p>
    <w:p w:rsidR="00EC5477" w:rsidRDefault="00EC5477" w:rsidP="00B56E2E">
      <w:pPr>
        <w:pStyle w:val="ECHRPara"/>
        <w:rPr>
          <w:lang w:val="fr-FR"/>
        </w:rPr>
      </w:pPr>
      <w:r>
        <w:rPr>
          <w:lang w:val="fr-FR"/>
        </w:rPr>
        <w:t>14.  Par un arrêt du 27 février 2013, dont le texte fut déposé au greffe le 12 avril 2013, la Cour de cassation cassa sans renvoi l</w:t>
      </w:r>
      <w:r w:rsidR="00300D45">
        <w:rPr>
          <w:lang w:val="fr-FR"/>
        </w:rPr>
        <w:t>’</w:t>
      </w:r>
      <w:r>
        <w:rPr>
          <w:lang w:val="fr-FR"/>
        </w:rPr>
        <w:t>arrêt d</w:t>
      </w:r>
      <w:r w:rsidR="00300D45">
        <w:rPr>
          <w:lang w:val="fr-FR"/>
        </w:rPr>
        <w:t>’</w:t>
      </w:r>
      <w:r>
        <w:rPr>
          <w:lang w:val="fr-FR"/>
        </w:rPr>
        <w:t>appel dans la mesure où il condamnait le requérant pour détention d</w:t>
      </w:r>
      <w:r w:rsidR="00300D45">
        <w:rPr>
          <w:lang w:val="fr-FR"/>
        </w:rPr>
        <w:t>’</w:t>
      </w:r>
      <w:r>
        <w:rPr>
          <w:lang w:val="fr-FR"/>
        </w:rPr>
        <w:t>arme à feu prohibée, cette infraction étant désormais prescrite. Elle indiqua que la peine à infliger pour l</w:t>
      </w:r>
      <w:r w:rsidR="00300D45">
        <w:rPr>
          <w:lang w:val="fr-FR"/>
        </w:rPr>
        <w:t>’</w:t>
      </w:r>
      <w:r>
        <w:rPr>
          <w:lang w:val="fr-FR"/>
        </w:rPr>
        <w:t>infraction de port d</w:t>
      </w:r>
      <w:r w:rsidR="00300D45">
        <w:rPr>
          <w:lang w:val="fr-FR"/>
        </w:rPr>
        <w:t>’</w:t>
      </w:r>
      <w:r>
        <w:rPr>
          <w:lang w:val="fr-FR"/>
        </w:rPr>
        <w:t>arme à feu prohibé devait être fixée à deux ans et quatre mois d</w:t>
      </w:r>
      <w:r w:rsidR="00300D45">
        <w:rPr>
          <w:lang w:val="fr-FR"/>
        </w:rPr>
        <w:t>’</w:t>
      </w:r>
      <w:r>
        <w:rPr>
          <w:lang w:val="fr-FR"/>
        </w:rPr>
        <w:t>emprisonnement et 220 EUR d</w:t>
      </w:r>
      <w:r w:rsidR="00300D45">
        <w:rPr>
          <w:lang w:val="fr-FR"/>
        </w:rPr>
        <w:t>’</w:t>
      </w:r>
      <w:r>
        <w:rPr>
          <w:lang w:val="fr-FR"/>
        </w:rPr>
        <w:t>amende. Estimant que la cour d</w:t>
      </w:r>
      <w:r w:rsidR="00300D45">
        <w:rPr>
          <w:lang w:val="fr-FR"/>
        </w:rPr>
        <w:t>’</w:t>
      </w:r>
      <w:r>
        <w:rPr>
          <w:lang w:val="fr-FR"/>
        </w:rPr>
        <w:t>appel avait motivé de façon logique et correcte tous les points controversés, la Cour de cassation débouta le requérant de tous ses autres moyens de pourvoi.</w:t>
      </w:r>
    </w:p>
    <w:p w:rsidR="00EC5477" w:rsidRDefault="00EC5477" w:rsidP="00B56E2E">
      <w:pPr>
        <w:pStyle w:val="ECHRPara"/>
        <w:rPr>
          <w:lang w:val="fr-FR"/>
        </w:rPr>
      </w:pPr>
      <w:bookmarkStart w:id="4" w:name="CCASScomeuntutto"/>
      <w:r>
        <w:rPr>
          <w:lang w:val="fr-FR"/>
        </w:rPr>
        <w:t>15</w:t>
      </w:r>
      <w:bookmarkEnd w:id="4"/>
      <w:r>
        <w:rPr>
          <w:lang w:val="fr-FR"/>
        </w:rPr>
        <w:t>.  </w:t>
      </w:r>
      <w:r>
        <w:rPr>
          <w:rFonts w:cstheme="minorHAnsi"/>
          <w:lang w:val="fr-FR"/>
        </w:rPr>
        <w:t>À</w:t>
      </w:r>
      <w:r>
        <w:rPr>
          <w:lang w:val="fr-FR"/>
        </w:rPr>
        <w:t xml:space="preserve"> titre préliminaire, la Cour de cassation observa que l</w:t>
      </w:r>
      <w:r w:rsidR="00300D45">
        <w:rPr>
          <w:lang w:val="fr-FR"/>
        </w:rPr>
        <w:t>’</w:t>
      </w:r>
      <w:r>
        <w:rPr>
          <w:lang w:val="fr-FR"/>
        </w:rPr>
        <w:t>arrêt d</w:t>
      </w:r>
      <w:r w:rsidR="00300D45">
        <w:rPr>
          <w:lang w:val="fr-FR"/>
        </w:rPr>
        <w:t>’</w:t>
      </w:r>
      <w:r>
        <w:rPr>
          <w:lang w:val="fr-FR"/>
        </w:rPr>
        <w:t xml:space="preserve">appel ne pouvait pas être considéré de manière isolée, mais devait être lu en conjonction avec le jugement de première instance. Puisque ces deux </w:t>
      </w:r>
      <w:r>
        <w:rPr>
          <w:lang w:val="fr-FR"/>
        </w:rPr>
        <w:lastRenderedPageBreak/>
        <w:t>décisions se développaient suivant les mêmes lignes logiques et juridiques, selon la jurisprudence consolidée de la Haute juridiction italienne, elles formaient un tout unique et indissociable.</w:t>
      </w:r>
    </w:p>
    <w:p w:rsidR="00EC5477" w:rsidRDefault="00EC5477" w:rsidP="00B56E2E">
      <w:pPr>
        <w:pStyle w:val="ECHRPara"/>
        <w:rPr>
          <w:lang w:val="fr-FR"/>
        </w:rPr>
      </w:pPr>
      <w:bookmarkStart w:id="5" w:name="Ccassinterpretaart178bis"/>
      <w:r>
        <w:rPr>
          <w:lang w:val="fr-FR"/>
        </w:rPr>
        <w:t>16</w:t>
      </w:r>
      <w:bookmarkEnd w:id="5"/>
      <w:r>
        <w:rPr>
          <w:lang w:val="fr-FR"/>
        </w:rPr>
        <w:t>.  La Cour de cassation observa ensuite qu</w:t>
      </w:r>
      <w:r w:rsidR="00300D45">
        <w:rPr>
          <w:lang w:val="fr-FR"/>
        </w:rPr>
        <w:t>’</w:t>
      </w:r>
      <w:r>
        <w:rPr>
          <w:lang w:val="fr-FR"/>
        </w:rPr>
        <w:t>aux termes de sa jurisprudence, le refus, exprimé par le défenseur, de recevoir une notification au nom de son client n</w:t>
      </w:r>
      <w:r w:rsidR="00300D45">
        <w:rPr>
          <w:lang w:val="fr-FR"/>
        </w:rPr>
        <w:t>’</w:t>
      </w:r>
      <w:r>
        <w:rPr>
          <w:lang w:val="fr-FR"/>
        </w:rPr>
        <w:t>était valide que s</w:t>
      </w:r>
      <w:r w:rsidR="00300D45">
        <w:rPr>
          <w:lang w:val="fr-FR"/>
        </w:rPr>
        <w:t>’</w:t>
      </w:r>
      <w:r>
        <w:rPr>
          <w:lang w:val="fr-FR"/>
        </w:rPr>
        <w:t>il était exprimé au moment de sa nomination en tant que conseil ou immédiatement après celle</w:t>
      </w:r>
      <w:r w:rsidR="008024BF">
        <w:rPr>
          <w:lang w:val="fr-FR"/>
        </w:rPr>
        <w:noBreakHyphen/>
      </w:r>
      <w:r>
        <w:rPr>
          <w:lang w:val="fr-FR"/>
        </w:rPr>
        <w:t>ci, et de toute manière avant la notification d</w:t>
      </w:r>
      <w:r w:rsidR="00300D45">
        <w:rPr>
          <w:lang w:val="fr-FR"/>
        </w:rPr>
        <w:t>’</w:t>
      </w:r>
      <w:r>
        <w:rPr>
          <w:lang w:val="fr-FR"/>
        </w:rPr>
        <w:t>un acte. Cette interprétation était conforme à l</w:t>
      </w:r>
      <w:r w:rsidR="00300D45">
        <w:rPr>
          <w:lang w:val="fr-FR"/>
        </w:rPr>
        <w:t>’</w:t>
      </w:r>
      <w:r>
        <w:rPr>
          <w:lang w:val="fr-FR"/>
        </w:rPr>
        <w:t>esprit de la loi n</w:t>
      </w:r>
      <w:r w:rsidRPr="00EC5477">
        <w:rPr>
          <w:vertAlign w:val="superscript"/>
          <w:lang w:val="fr-FR"/>
        </w:rPr>
        <w:t>o</w:t>
      </w:r>
      <w:r>
        <w:rPr>
          <w:lang w:val="fr-FR"/>
        </w:rPr>
        <w:t xml:space="preserve"> 60 de 2005, qui avait introduit le paragraphe 8</w:t>
      </w:r>
      <w:r>
        <w:rPr>
          <w:i/>
          <w:lang w:val="fr-FR"/>
        </w:rPr>
        <w:t xml:space="preserve">bis </w:t>
      </w:r>
      <w:r>
        <w:rPr>
          <w:lang w:val="fr-FR"/>
        </w:rPr>
        <w:t>de l</w:t>
      </w:r>
      <w:r w:rsidR="00300D45">
        <w:rPr>
          <w:lang w:val="fr-FR"/>
        </w:rPr>
        <w:t>’</w:t>
      </w:r>
      <w:r>
        <w:rPr>
          <w:lang w:val="fr-FR"/>
        </w:rPr>
        <w:t>article 157 du CPP afin d</w:t>
      </w:r>
      <w:r w:rsidR="00300D45">
        <w:rPr>
          <w:lang w:val="fr-FR"/>
        </w:rPr>
        <w:t>’</w:t>
      </w:r>
      <w:r>
        <w:rPr>
          <w:lang w:val="fr-FR"/>
        </w:rPr>
        <w:t>assurer le respect du « délai raisonnable » de durée des procédures pénales. En effet, des retards se seraient produits si l</w:t>
      </w:r>
      <w:r w:rsidR="00300D45">
        <w:rPr>
          <w:lang w:val="fr-FR"/>
        </w:rPr>
        <w:t>’</w:t>
      </w:r>
      <w:r>
        <w:rPr>
          <w:lang w:val="fr-FR"/>
        </w:rPr>
        <w:t>on obligeait les autorités à attendre la première notification pour savoir si le défenseur acceptait ou non de recevoir les communications adressées à son client. Il était vrai qu</w:t>
      </w:r>
      <w:r w:rsidR="00300D45">
        <w:rPr>
          <w:lang w:val="fr-FR"/>
        </w:rPr>
        <w:t>’</w:t>
      </w:r>
      <w:r>
        <w:rPr>
          <w:lang w:val="fr-FR"/>
        </w:rPr>
        <w:t>en l</w:t>
      </w:r>
      <w:r w:rsidR="00300D45">
        <w:rPr>
          <w:lang w:val="fr-FR"/>
        </w:rPr>
        <w:t>’</w:t>
      </w:r>
      <w:r>
        <w:rPr>
          <w:lang w:val="fr-FR"/>
        </w:rPr>
        <w:t>espèce le requérant avait nommé son conseil avant l</w:t>
      </w:r>
      <w:r w:rsidR="00300D45">
        <w:rPr>
          <w:lang w:val="fr-FR"/>
        </w:rPr>
        <w:t>’</w:t>
      </w:r>
      <w:r>
        <w:rPr>
          <w:lang w:val="fr-FR"/>
        </w:rPr>
        <w:t>entrée en vigueur de la loi n</w:t>
      </w:r>
      <w:r w:rsidRPr="00EC5477">
        <w:rPr>
          <w:vertAlign w:val="superscript"/>
          <w:lang w:val="fr-FR"/>
        </w:rPr>
        <w:t>o</w:t>
      </w:r>
      <w:r>
        <w:rPr>
          <w:lang w:val="fr-FR"/>
        </w:rPr>
        <w:t xml:space="preserve"> 60 de 2005 ; il en demeurait pas moins que M</w:t>
      </w:r>
      <w:r w:rsidRPr="00471061">
        <w:rPr>
          <w:vertAlign w:val="superscript"/>
          <w:lang w:val="fr-FR"/>
        </w:rPr>
        <w:t>e</w:t>
      </w:r>
      <w:r>
        <w:rPr>
          <w:lang w:val="fr-FR"/>
        </w:rPr>
        <w:t xml:space="preserve"> A aurait dû manifester son refus de recevoir les notifications au nom de son client au plus tard lors de la communication de l</w:t>
      </w:r>
      <w:r w:rsidR="00300D45">
        <w:rPr>
          <w:lang w:val="fr-FR"/>
        </w:rPr>
        <w:t>’</w:t>
      </w:r>
      <w:r>
        <w:rPr>
          <w:lang w:val="fr-FR"/>
        </w:rPr>
        <w:t>avis de fixation de la première audience d</w:t>
      </w:r>
      <w:r w:rsidR="00300D45">
        <w:rPr>
          <w:lang w:val="fr-FR"/>
        </w:rPr>
        <w:t>’</w:t>
      </w:r>
      <w:r>
        <w:rPr>
          <w:lang w:val="fr-FR"/>
        </w:rPr>
        <w:t>appel. Cependant, M</w:t>
      </w:r>
      <w:r w:rsidRPr="00142A70">
        <w:rPr>
          <w:vertAlign w:val="superscript"/>
          <w:lang w:val="fr-FR"/>
        </w:rPr>
        <w:t>e</w:t>
      </w:r>
      <w:r>
        <w:rPr>
          <w:lang w:val="fr-FR"/>
        </w:rPr>
        <w:t xml:space="preserve"> A n</w:t>
      </w:r>
      <w:r w:rsidR="00300D45">
        <w:rPr>
          <w:lang w:val="fr-FR"/>
        </w:rPr>
        <w:t>’</w:t>
      </w:r>
      <w:r>
        <w:rPr>
          <w:lang w:val="fr-FR"/>
        </w:rPr>
        <w:t>avait agi de la sorte que lors de la communication de la date de la deuxième audience d</w:t>
      </w:r>
      <w:r w:rsidR="00300D45">
        <w:rPr>
          <w:lang w:val="fr-FR"/>
        </w:rPr>
        <w:t>’</w:t>
      </w:r>
      <w:r>
        <w:rPr>
          <w:lang w:val="fr-FR"/>
        </w:rPr>
        <w:t>appel, après le renvoi de la première pour cause de maladie de son client (paragraphe 10 ci</w:t>
      </w:r>
      <w:r w:rsidR="008024BF">
        <w:rPr>
          <w:lang w:val="fr-FR"/>
        </w:rPr>
        <w:noBreakHyphen/>
      </w:r>
      <w:r>
        <w:rPr>
          <w:lang w:val="fr-FR"/>
        </w:rPr>
        <w:t>dessus). Dans ces circonstances, son refus tardif n</w:t>
      </w:r>
      <w:r w:rsidR="00300D45">
        <w:rPr>
          <w:lang w:val="fr-FR"/>
        </w:rPr>
        <w:t>’</w:t>
      </w:r>
      <w:r>
        <w:rPr>
          <w:lang w:val="fr-FR"/>
        </w:rPr>
        <w:t>était pas valide, et la notification de l</w:t>
      </w:r>
      <w:r w:rsidR="00300D45">
        <w:rPr>
          <w:lang w:val="fr-FR"/>
        </w:rPr>
        <w:t>’</w:t>
      </w:r>
      <w:r>
        <w:rPr>
          <w:lang w:val="fr-FR"/>
        </w:rPr>
        <w:t>avis de fixation de la deuxième audience d</w:t>
      </w:r>
      <w:r w:rsidR="00300D45">
        <w:rPr>
          <w:lang w:val="fr-FR"/>
        </w:rPr>
        <w:t>’</w:t>
      </w:r>
      <w:r>
        <w:rPr>
          <w:lang w:val="fr-FR"/>
        </w:rPr>
        <w:t>appel était régulière.</w:t>
      </w:r>
    </w:p>
    <w:p w:rsidR="00EC5477" w:rsidRPr="00E21176" w:rsidRDefault="00EC5477" w:rsidP="00B56E2E">
      <w:pPr>
        <w:pStyle w:val="ECHRPara"/>
        <w:rPr>
          <w:lang w:val="fr-FR"/>
        </w:rPr>
      </w:pPr>
      <w:bookmarkStart w:id="6" w:name="CCassrequdidnotaskexpertise"/>
      <w:r>
        <w:rPr>
          <w:lang w:val="fr-FR"/>
        </w:rPr>
        <w:t>17</w:t>
      </w:r>
      <w:bookmarkEnd w:id="6"/>
      <w:r>
        <w:rPr>
          <w:lang w:val="fr-FR"/>
        </w:rPr>
        <w:t>.  La Haute juridiction italienne estima enfin que les doutes exprimés par le requérant quant à l</w:t>
      </w:r>
      <w:r w:rsidR="00300D45">
        <w:rPr>
          <w:lang w:val="fr-FR"/>
        </w:rPr>
        <w:t>’</w:t>
      </w:r>
      <w:r>
        <w:rPr>
          <w:lang w:val="fr-FR"/>
        </w:rPr>
        <w:t>identification du pistolet n</w:t>
      </w:r>
      <w:r w:rsidR="00300D45">
        <w:rPr>
          <w:lang w:val="fr-FR"/>
        </w:rPr>
        <w:t>’</w:t>
      </w:r>
      <w:r>
        <w:rPr>
          <w:lang w:val="fr-FR"/>
        </w:rPr>
        <w:t>étaient que de simples hypothèses touchant au fond de l</w:t>
      </w:r>
      <w:r w:rsidR="00300D45">
        <w:rPr>
          <w:lang w:val="fr-FR"/>
        </w:rPr>
        <w:t>’</w:t>
      </w:r>
      <w:r>
        <w:rPr>
          <w:lang w:val="fr-FR"/>
        </w:rPr>
        <w:t>affaire ; or, ce type de doléances étaient irrecevables en cassation. Par ailleurs, s</w:t>
      </w:r>
      <w:r w:rsidR="00300D45">
        <w:rPr>
          <w:lang w:val="fr-FR"/>
        </w:rPr>
        <w:t>’</w:t>
      </w:r>
      <w:r>
        <w:rPr>
          <w:lang w:val="fr-FR"/>
        </w:rPr>
        <w:t>il avait des doutes quant à la coïncidence entre l</w:t>
      </w:r>
      <w:r w:rsidR="00300D45">
        <w:rPr>
          <w:lang w:val="fr-FR"/>
        </w:rPr>
        <w:t>’</w:t>
      </w:r>
      <w:r>
        <w:rPr>
          <w:lang w:val="fr-FR"/>
        </w:rPr>
        <w:t>arme expertisée par Z et celle saisie à Y, le requérant aurait dû demander une nouvelle expertise devant les juges du fond, ce qu</w:t>
      </w:r>
      <w:r w:rsidR="00300D45">
        <w:rPr>
          <w:lang w:val="fr-FR"/>
        </w:rPr>
        <w:t>’</w:t>
      </w:r>
      <w:r>
        <w:rPr>
          <w:lang w:val="fr-FR"/>
        </w:rPr>
        <w:t>il n</w:t>
      </w:r>
      <w:r w:rsidR="00300D45">
        <w:rPr>
          <w:lang w:val="fr-FR"/>
        </w:rPr>
        <w:t>’</w:t>
      </w:r>
      <w:r>
        <w:rPr>
          <w:lang w:val="fr-FR"/>
        </w:rPr>
        <w:t>avait pas fait.</w:t>
      </w:r>
    </w:p>
    <w:p w:rsidR="00EC5477" w:rsidRPr="00E21176" w:rsidRDefault="00EC5477" w:rsidP="00B56E2E">
      <w:pPr>
        <w:pStyle w:val="ECHRHeading2"/>
        <w:rPr>
          <w:lang w:val="fr-FR"/>
        </w:rPr>
      </w:pPr>
      <w:r w:rsidRPr="00E21176">
        <w:rPr>
          <w:lang w:val="fr-FR"/>
        </w:rPr>
        <w:t>B.  Le droit interne pertinent</w:t>
      </w:r>
    </w:p>
    <w:p w:rsidR="00EC5477" w:rsidRPr="00EC5477" w:rsidRDefault="00EC5477" w:rsidP="00B56E2E">
      <w:pPr>
        <w:pStyle w:val="ECHRPara"/>
        <w:rPr>
          <w:rFonts w:eastAsia="Times New Roman" w:cstheme="minorHAnsi"/>
          <w:color w:val="0C0C0F"/>
          <w:szCs w:val="24"/>
          <w:lang w:val="fr-FR" w:eastAsia="fr-FR"/>
        </w:rPr>
      </w:pPr>
      <w:r>
        <w:rPr>
          <w:lang w:val="fr-FR"/>
        </w:rPr>
        <w:t>18.  L</w:t>
      </w:r>
      <w:r w:rsidR="00300D45">
        <w:rPr>
          <w:lang w:val="fr-FR"/>
        </w:rPr>
        <w:t>’</w:t>
      </w:r>
      <w:r>
        <w:rPr>
          <w:lang w:val="fr-FR"/>
        </w:rPr>
        <w:t xml:space="preserve">article 157 § 1 du CPP prévoit que </w:t>
      </w:r>
      <w:bookmarkStart w:id="7" w:name="art157"/>
      <w:bookmarkEnd w:id="7"/>
      <w:r>
        <w:rPr>
          <w:lang w:val="fr-FR"/>
        </w:rPr>
        <w:t>la première notification à l</w:t>
      </w:r>
      <w:r w:rsidR="00300D45">
        <w:rPr>
          <w:lang w:val="fr-FR"/>
        </w:rPr>
        <w:t>’</w:t>
      </w:r>
      <w:r>
        <w:rPr>
          <w:lang w:val="fr-FR"/>
        </w:rPr>
        <w:t>accusé non détenu est effectuée en donnant une copie de l</w:t>
      </w:r>
      <w:r w:rsidR="00300D45">
        <w:rPr>
          <w:lang w:val="fr-FR"/>
        </w:rPr>
        <w:t>’</w:t>
      </w:r>
      <w:r>
        <w:rPr>
          <w:lang w:val="fr-FR"/>
        </w:rPr>
        <w:t xml:space="preserve">acte à la personne concernée </w:t>
      </w:r>
      <w:r w:rsidRPr="00EC5477">
        <w:rPr>
          <w:rFonts w:cstheme="minorHAnsi"/>
          <w:szCs w:val="24"/>
          <w:lang w:val="fr-FR"/>
        </w:rPr>
        <w:t>(</w:t>
      </w:r>
      <w:r w:rsidRPr="00EC5477">
        <w:rPr>
          <w:rFonts w:eastAsia="Times New Roman" w:cstheme="minorHAnsi"/>
          <w:i/>
          <w:color w:val="0C0C0F"/>
          <w:szCs w:val="24"/>
          <w:lang w:val="fr-FR" w:eastAsia="fr-FR"/>
        </w:rPr>
        <w:t>mediante consegna di copia alla persona</w:t>
      </w:r>
      <w:r w:rsidRPr="00EC5477">
        <w:rPr>
          <w:rFonts w:eastAsia="Times New Roman" w:cstheme="minorHAnsi"/>
          <w:color w:val="0C0C0F"/>
          <w:szCs w:val="24"/>
          <w:lang w:val="fr-FR" w:eastAsia="fr-FR"/>
        </w:rPr>
        <w:t>)</w:t>
      </w:r>
      <w:r w:rsidRPr="00F86437">
        <w:rPr>
          <w:rFonts w:ascii="Lato" w:eastAsia="Times New Roman" w:hAnsi="Lato" w:cs="Times New Roman"/>
          <w:color w:val="0C0C0F"/>
          <w:sz w:val="26"/>
          <w:szCs w:val="26"/>
          <w:lang w:val="fr-FR" w:eastAsia="fr-FR"/>
        </w:rPr>
        <w:t>.</w:t>
      </w:r>
      <w:r>
        <w:rPr>
          <w:rFonts w:ascii="Lato" w:eastAsia="Times New Roman" w:hAnsi="Lato"/>
          <w:color w:val="0C0C0F"/>
          <w:sz w:val="26"/>
          <w:szCs w:val="26"/>
          <w:lang w:val="fr-FR" w:eastAsia="fr-FR"/>
        </w:rPr>
        <w:t xml:space="preserve"> </w:t>
      </w:r>
      <w:r w:rsidRPr="00EC5477">
        <w:rPr>
          <w:rFonts w:eastAsia="Times New Roman" w:cstheme="minorHAnsi"/>
          <w:color w:val="0C0C0F"/>
          <w:szCs w:val="24"/>
          <w:lang w:val="fr-FR" w:eastAsia="fr-FR"/>
        </w:rPr>
        <w:t>Si cela n</w:t>
      </w:r>
      <w:r w:rsidR="00300D45">
        <w:rPr>
          <w:rFonts w:eastAsia="Times New Roman" w:cstheme="minorHAnsi"/>
          <w:color w:val="0C0C0F"/>
          <w:szCs w:val="24"/>
          <w:lang w:val="fr-FR" w:eastAsia="fr-FR"/>
        </w:rPr>
        <w:t>’</w:t>
      </w:r>
      <w:r w:rsidRPr="00EC5477">
        <w:rPr>
          <w:rFonts w:eastAsia="Times New Roman" w:cstheme="minorHAnsi"/>
          <w:color w:val="0C0C0F"/>
          <w:szCs w:val="24"/>
          <w:lang w:val="fr-FR" w:eastAsia="fr-FR"/>
        </w:rPr>
        <w:t>est pas possible, la notification est effectuée auprès de l</w:t>
      </w:r>
      <w:r w:rsidR="00300D45">
        <w:rPr>
          <w:rFonts w:eastAsia="Times New Roman" w:cstheme="minorHAnsi"/>
          <w:color w:val="0C0C0F"/>
          <w:szCs w:val="24"/>
          <w:lang w:val="fr-FR" w:eastAsia="fr-FR"/>
        </w:rPr>
        <w:t>’</w:t>
      </w:r>
      <w:r w:rsidRPr="00EC5477">
        <w:rPr>
          <w:rFonts w:eastAsia="Times New Roman" w:cstheme="minorHAnsi"/>
          <w:color w:val="0C0C0F"/>
          <w:szCs w:val="24"/>
          <w:lang w:val="fr-FR" w:eastAsia="fr-FR"/>
        </w:rPr>
        <w:t>habitation de l</w:t>
      </w:r>
      <w:r w:rsidR="00300D45">
        <w:rPr>
          <w:rFonts w:eastAsia="Times New Roman" w:cstheme="minorHAnsi"/>
          <w:color w:val="0C0C0F"/>
          <w:szCs w:val="24"/>
          <w:lang w:val="fr-FR" w:eastAsia="fr-FR"/>
        </w:rPr>
        <w:t>’</w:t>
      </w:r>
      <w:r w:rsidRPr="00EC5477">
        <w:rPr>
          <w:rFonts w:eastAsia="Times New Roman" w:cstheme="minorHAnsi"/>
          <w:color w:val="0C0C0F"/>
          <w:szCs w:val="24"/>
          <w:lang w:val="fr-FR" w:eastAsia="fr-FR"/>
        </w:rPr>
        <w:t>accusé ou dans le lieu où il exerce habituellement son travail, en consignant une copie de l</w:t>
      </w:r>
      <w:r w:rsidR="00300D45">
        <w:rPr>
          <w:rFonts w:eastAsia="Times New Roman" w:cstheme="minorHAnsi"/>
          <w:color w:val="0C0C0F"/>
          <w:szCs w:val="24"/>
          <w:lang w:val="fr-FR" w:eastAsia="fr-FR"/>
        </w:rPr>
        <w:t>’</w:t>
      </w:r>
      <w:r w:rsidRPr="00EC5477">
        <w:rPr>
          <w:rFonts w:eastAsia="Times New Roman" w:cstheme="minorHAnsi"/>
          <w:color w:val="0C0C0F"/>
          <w:szCs w:val="24"/>
          <w:lang w:val="fr-FR" w:eastAsia="fr-FR"/>
        </w:rPr>
        <w:t>acte aux personnes qui cohabitent avec lui, ou, à défaut, au concierge. Les paragraphes suivants de l</w:t>
      </w:r>
      <w:r w:rsidR="00300D45">
        <w:rPr>
          <w:rFonts w:eastAsia="Times New Roman" w:cstheme="minorHAnsi"/>
          <w:color w:val="0C0C0F"/>
          <w:szCs w:val="24"/>
          <w:lang w:val="fr-FR" w:eastAsia="fr-FR"/>
        </w:rPr>
        <w:t>’</w:t>
      </w:r>
      <w:r w:rsidRPr="00EC5477">
        <w:rPr>
          <w:rFonts w:eastAsia="Times New Roman" w:cstheme="minorHAnsi"/>
          <w:color w:val="0C0C0F"/>
          <w:szCs w:val="24"/>
          <w:lang w:val="fr-FR" w:eastAsia="fr-FR"/>
        </w:rPr>
        <w:t>article 157 précité décrivent les modalités de la première notification et les cas où elle doit être renouvelée ou il s</w:t>
      </w:r>
      <w:r w:rsidR="00300D45">
        <w:rPr>
          <w:rFonts w:eastAsia="Times New Roman" w:cstheme="minorHAnsi"/>
          <w:color w:val="0C0C0F"/>
          <w:szCs w:val="24"/>
          <w:lang w:val="fr-FR" w:eastAsia="fr-FR"/>
        </w:rPr>
        <w:t>’</w:t>
      </w:r>
      <w:r w:rsidRPr="00EC5477">
        <w:rPr>
          <w:rFonts w:eastAsia="Times New Roman" w:cstheme="minorHAnsi"/>
          <w:color w:val="0C0C0F"/>
          <w:szCs w:val="24"/>
          <w:lang w:val="fr-FR" w:eastAsia="fr-FR"/>
        </w:rPr>
        <w:t>impose de procéder à des nouvelles recherches de l</w:t>
      </w:r>
      <w:r w:rsidR="00300D45">
        <w:rPr>
          <w:rFonts w:eastAsia="Times New Roman" w:cstheme="minorHAnsi"/>
          <w:color w:val="0C0C0F"/>
          <w:szCs w:val="24"/>
          <w:lang w:val="fr-FR" w:eastAsia="fr-FR"/>
        </w:rPr>
        <w:t>’</w:t>
      </w:r>
      <w:r w:rsidRPr="00EC5477">
        <w:rPr>
          <w:rFonts w:eastAsia="Times New Roman" w:cstheme="minorHAnsi"/>
          <w:color w:val="0C0C0F"/>
          <w:szCs w:val="24"/>
          <w:lang w:val="fr-FR" w:eastAsia="fr-FR"/>
        </w:rPr>
        <w:t>accusé.</w:t>
      </w:r>
    </w:p>
    <w:p w:rsidR="00EC5477" w:rsidRDefault="00EC5477" w:rsidP="00B56E2E">
      <w:pPr>
        <w:pStyle w:val="ECHRPara"/>
        <w:rPr>
          <w:lang w:val="fr-FR"/>
        </w:rPr>
      </w:pPr>
      <w:bookmarkStart w:id="8" w:name="art1578bis"/>
      <w:r>
        <w:rPr>
          <w:rFonts w:ascii="Lato" w:eastAsia="Times New Roman" w:hAnsi="Lato"/>
          <w:color w:val="0C0C0F"/>
          <w:sz w:val="26"/>
          <w:szCs w:val="26"/>
          <w:lang w:val="fr-FR" w:eastAsia="fr-FR"/>
        </w:rPr>
        <w:lastRenderedPageBreak/>
        <w:t>19</w:t>
      </w:r>
      <w:bookmarkEnd w:id="8"/>
      <w:r w:rsidRPr="00776BB5">
        <w:rPr>
          <w:rFonts w:ascii="Lato" w:eastAsia="Times New Roman" w:hAnsi="Lato"/>
          <w:color w:val="0C0C0F"/>
          <w:sz w:val="26"/>
          <w:szCs w:val="26"/>
          <w:lang w:val="fr-FR" w:eastAsia="fr-FR"/>
        </w:rPr>
        <w:t>.</w:t>
      </w:r>
      <w:r w:rsidRPr="00776BB5">
        <w:rPr>
          <w:rFonts w:ascii="Lato" w:eastAsia="Times New Roman" w:hAnsi="Lato" w:hint="eastAsia"/>
          <w:color w:val="0C0C0F"/>
          <w:sz w:val="26"/>
          <w:szCs w:val="26"/>
          <w:lang w:val="fr-FR" w:eastAsia="fr-FR"/>
        </w:rPr>
        <w:t>  </w:t>
      </w:r>
      <w:r w:rsidRPr="00CD633B">
        <w:rPr>
          <w:lang w:val="fr-FR"/>
        </w:rPr>
        <w:t>Le décret-loi n</w:t>
      </w:r>
      <w:r w:rsidRPr="00EC5477">
        <w:rPr>
          <w:vertAlign w:val="superscript"/>
          <w:lang w:val="fr-FR"/>
        </w:rPr>
        <w:t>o</w:t>
      </w:r>
      <w:r w:rsidRPr="00CD633B">
        <w:rPr>
          <w:lang w:val="fr-FR"/>
        </w:rPr>
        <w:t xml:space="preserve"> 17 du 21 février 2005, converti (avec modifications) par la loi n</w:t>
      </w:r>
      <w:r w:rsidRPr="00EC5477">
        <w:rPr>
          <w:vertAlign w:val="superscript"/>
          <w:lang w:val="fr-FR"/>
        </w:rPr>
        <w:t>o</w:t>
      </w:r>
      <w:r w:rsidRPr="00CD633B">
        <w:rPr>
          <w:lang w:val="fr-FR"/>
        </w:rPr>
        <w:t xml:space="preserve"> 60 du 22 avril 2005, a introduit à l</w:t>
      </w:r>
      <w:r w:rsidR="00300D45">
        <w:rPr>
          <w:lang w:val="fr-FR"/>
        </w:rPr>
        <w:t>’</w:t>
      </w:r>
      <w:r w:rsidRPr="00CD633B">
        <w:rPr>
          <w:lang w:val="fr-FR"/>
        </w:rPr>
        <w:t>article 157 du CPP un paragraphe 8</w:t>
      </w:r>
      <w:r w:rsidRPr="00CD633B">
        <w:rPr>
          <w:i/>
          <w:lang w:val="fr-FR"/>
        </w:rPr>
        <w:t>bis</w:t>
      </w:r>
      <w:r w:rsidRPr="00CD633B">
        <w:rPr>
          <w:lang w:val="fr-FR"/>
        </w:rPr>
        <w:t>, qui se lit ainsi :</w:t>
      </w:r>
    </w:p>
    <w:p w:rsidR="00EC5477" w:rsidRDefault="00EC5477" w:rsidP="00B56E2E">
      <w:pPr>
        <w:pStyle w:val="ECHRParaQuote"/>
        <w:rPr>
          <w:rFonts w:eastAsia="Times New Roman"/>
          <w:lang w:val="fr-FR" w:eastAsia="fr-FR"/>
        </w:rPr>
      </w:pPr>
      <w:r>
        <w:rPr>
          <w:lang w:val="fr-FR"/>
        </w:rPr>
        <w:t>« E</w:t>
      </w:r>
      <w:r w:rsidRPr="00CD633B">
        <w:rPr>
          <w:lang w:val="fr-FR"/>
        </w:rPr>
        <w:t>n cas de nomination d</w:t>
      </w:r>
      <w:r w:rsidR="00300D45">
        <w:rPr>
          <w:lang w:val="fr-FR"/>
        </w:rPr>
        <w:t>’</w:t>
      </w:r>
      <w:r w:rsidRPr="00CD633B">
        <w:rPr>
          <w:lang w:val="fr-FR"/>
        </w:rPr>
        <w:t>un conseil choisi par l</w:t>
      </w:r>
      <w:r w:rsidR="00300D45">
        <w:rPr>
          <w:lang w:val="fr-FR"/>
        </w:rPr>
        <w:t>’</w:t>
      </w:r>
      <w:r w:rsidRPr="00CD633B">
        <w:rPr>
          <w:lang w:val="fr-FR"/>
        </w:rPr>
        <w:t>accusé</w:t>
      </w:r>
      <w:r>
        <w:rPr>
          <w:lang w:val="fr-FR"/>
        </w:rPr>
        <w:t xml:space="preserve"> aux termes de l</w:t>
      </w:r>
      <w:r w:rsidR="00300D45">
        <w:rPr>
          <w:lang w:val="fr-FR"/>
        </w:rPr>
        <w:t>’</w:t>
      </w:r>
      <w:r>
        <w:rPr>
          <w:lang w:val="fr-FR"/>
        </w:rPr>
        <w:t>article 96, l</w:t>
      </w:r>
      <w:r w:rsidRPr="00CD633B">
        <w:rPr>
          <w:lang w:val="fr-FR"/>
        </w:rPr>
        <w:t>es notifications suivantes sont effectuée</w:t>
      </w:r>
      <w:r>
        <w:rPr>
          <w:lang w:val="fr-FR"/>
        </w:rPr>
        <w:t>s en consignant [une copie de l</w:t>
      </w:r>
      <w:r w:rsidR="00300D45">
        <w:rPr>
          <w:lang w:val="fr-FR"/>
        </w:rPr>
        <w:t>’</w:t>
      </w:r>
      <w:r>
        <w:rPr>
          <w:lang w:val="fr-FR"/>
        </w:rPr>
        <w:t>acte] aux défenseurs (</w:t>
      </w:r>
      <w:r w:rsidRPr="00CD633B">
        <w:rPr>
          <w:i/>
          <w:lang w:val="fr-FR"/>
        </w:rPr>
        <w:t>mediante consegna ai difensori</w:t>
      </w:r>
      <w:r>
        <w:rPr>
          <w:lang w:val="fr-FR"/>
        </w:rPr>
        <w:t>)</w:t>
      </w:r>
      <w:r w:rsidRPr="00CD633B">
        <w:rPr>
          <w:lang w:val="fr-FR"/>
        </w:rPr>
        <w:t>. Le défenseur peut immédiatement déclarer à l</w:t>
      </w:r>
      <w:r w:rsidR="00300D45">
        <w:rPr>
          <w:lang w:val="fr-FR"/>
        </w:rPr>
        <w:t>’</w:t>
      </w:r>
      <w:r w:rsidRPr="00CD633B">
        <w:rPr>
          <w:lang w:val="fr-FR"/>
        </w:rPr>
        <w:t>autorité qui procède de ne pas accepter la notification. Pour les modalités de la notification on applique également les dispositions de l</w:t>
      </w:r>
      <w:r w:rsidR="00300D45">
        <w:rPr>
          <w:lang w:val="fr-FR"/>
        </w:rPr>
        <w:t>’</w:t>
      </w:r>
      <w:r w:rsidRPr="00CD633B">
        <w:rPr>
          <w:lang w:val="fr-FR"/>
        </w:rPr>
        <w:t xml:space="preserve">article 148 </w:t>
      </w:r>
      <w:r>
        <w:rPr>
          <w:lang w:val="fr-FR"/>
        </w:rPr>
        <w:t>paragraphe </w:t>
      </w:r>
      <w:r w:rsidRPr="00CD633B">
        <w:rPr>
          <w:lang w:val="fr-FR"/>
        </w:rPr>
        <w:t>2</w:t>
      </w:r>
      <w:r w:rsidRPr="00CD633B">
        <w:rPr>
          <w:i/>
          <w:lang w:val="fr-FR"/>
        </w:rPr>
        <w:t>bis</w:t>
      </w:r>
      <w:r w:rsidRPr="00CD633B">
        <w:rPr>
          <w:lang w:val="fr-FR"/>
        </w:rPr>
        <w:t xml:space="preserve"> [</w:t>
      </w:r>
      <w:r>
        <w:rPr>
          <w:lang w:val="fr-FR"/>
        </w:rPr>
        <w:t>qui prévoit la notification par des « moyens techniques adéquats »</w:t>
      </w:r>
      <w:r w:rsidRPr="00CD633B">
        <w:rPr>
          <w:lang w:val="fr-FR"/>
        </w:rPr>
        <w:t xml:space="preserve"> </w:t>
      </w:r>
      <w:r>
        <w:rPr>
          <w:lang w:val="fr-FR"/>
        </w:rPr>
        <w:t>(</w:t>
      </w:r>
      <w:r w:rsidRPr="00CD633B">
        <w:rPr>
          <w:i/>
          <w:lang w:val="fr-FR"/>
        </w:rPr>
        <w:t>con mezzi tecnici idonei</w:t>
      </w:r>
      <w:r>
        <w:rPr>
          <w:lang w:val="fr-FR"/>
        </w:rPr>
        <w:t>)</w:t>
      </w:r>
      <w:r w:rsidRPr="00CD633B">
        <w:rPr>
          <w:lang w:val="fr-FR"/>
        </w:rPr>
        <w:t>]</w:t>
      </w:r>
      <w:r>
        <w:rPr>
          <w:lang w:val="fr-FR"/>
        </w:rPr>
        <w:t>. »</w:t>
      </w:r>
    </w:p>
    <w:p w:rsidR="00EC5477" w:rsidRPr="00776BB5" w:rsidRDefault="00EC5477" w:rsidP="00B56E2E">
      <w:pPr>
        <w:pStyle w:val="ECHRTitle1"/>
        <w:rPr>
          <w:lang w:val="fr-FR"/>
        </w:rPr>
      </w:pPr>
      <w:r w:rsidRPr="00776BB5">
        <w:rPr>
          <w:lang w:val="fr-FR"/>
        </w:rPr>
        <w:t>GRIEF</w:t>
      </w:r>
    </w:p>
    <w:p w:rsidR="00EC5477" w:rsidRDefault="00EC5477" w:rsidP="00B56E2E">
      <w:pPr>
        <w:pStyle w:val="ECHRPara"/>
        <w:rPr>
          <w:lang w:val="fr-FR"/>
        </w:rPr>
      </w:pPr>
      <w:r>
        <w:rPr>
          <w:lang w:val="fr-FR"/>
        </w:rPr>
        <w:t>20</w:t>
      </w:r>
      <w:r w:rsidRPr="00776BB5">
        <w:rPr>
          <w:lang w:val="fr-FR"/>
        </w:rPr>
        <w:t>.  </w:t>
      </w:r>
      <w:r w:rsidRPr="00E21176">
        <w:rPr>
          <w:lang w:val="fr-FR"/>
        </w:rPr>
        <w:t>Invoquant l</w:t>
      </w:r>
      <w:r w:rsidR="00300D45">
        <w:rPr>
          <w:lang w:val="fr-FR"/>
        </w:rPr>
        <w:t>’</w:t>
      </w:r>
      <w:r w:rsidRPr="00E21176">
        <w:rPr>
          <w:lang w:val="fr-FR"/>
        </w:rPr>
        <w:t xml:space="preserve">article </w:t>
      </w:r>
      <w:r>
        <w:rPr>
          <w:lang w:val="fr-FR"/>
        </w:rPr>
        <w:t>6</w:t>
      </w:r>
      <w:r w:rsidRPr="00E21176">
        <w:rPr>
          <w:lang w:val="fr-FR"/>
        </w:rPr>
        <w:t xml:space="preserve"> de la Convention, le requérant se plaint d</w:t>
      </w:r>
      <w:r w:rsidR="00300D45">
        <w:rPr>
          <w:lang w:val="fr-FR"/>
        </w:rPr>
        <w:t>’</w:t>
      </w:r>
      <w:r>
        <w:rPr>
          <w:lang w:val="fr-FR"/>
        </w:rPr>
        <w:t>un manque d</w:t>
      </w:r>
      <w:r w:rsidR="00300D45">
        <w:rPr>
          <w:lang w:val="fr-FR"/>
        </w:rPr>
        <w:t>’</w:t>
      </w:r>
      <w:r>
        <w:rPr>
          <w:lang w:val="fr-FR"/>
        </w:rPr>
        <w:t>équité de la procédure pénale diligentée à son encontre</w:t>
      </w:r>
      <w:r w:rsidRPr="00E21176">
        <w:rPr>
          <w:lang w:val="fr-FR"/>
        </w:rPr>
        <w:t>.</w:t>
      </w:r>
    </w:p>
    <w:p w:rsidR="00EC5477" w:rsidRPr="00E21176" w:rsidRDefault="00EC5477" w:rsidP="00B56E2E">
      <w:pPr>
        <w:pStyle w:val="ECHRPara"/>
        <w:rPr>
          <w:lang w:val="fr-FR"/>
        </w:rPr>
      </w:pPr>
      <w:r>
        <w:rPr>
          <w:lang w:val="fr-FR"/>
        </w:rPr>
        <w:t>21.  Invoquant l</w:t>
      </w:r>
      <w:r w:rsidR="00300D45">
        <w:rPr>
          <w:lang w:val="fr-FR"/>
        </w:rPr>
        <w:t>’</w:t>
      </w:r>
      <w:r>
        <w:rPr>
          <w:lang w:val="fr-FR"/>
        </w:rPr>
        <w:t>article 2 du Protocole n</w:t>
      </w:r>
      <w:r w:rsidRPr="00EC5477">
        <w:rPr>
          <w:vertAlign w:val="superscript"/>
          <w:lang w:val="fr-FR"/>
        </w:rPr>
        <w:t>o</w:t>
      </w:r>
      <w:r>
        <w:rPr>
          <w:lang w:val="fr-FR"/>
        </w:rPr>
        <w:t xml:space="preserve"> 7 à la Convention, le requérant allègue de ne pas avoir bénéficié d</w:t>
      </w:r>
      <w:r w:rsidR="00300D45">
        <w:rPr>
          <w:lang w:val="fr-FR"/>
        </w:rPr>
        <w:t>’</w:t>
      </w:r>
      <w:r>
        <w:rPr>
          <w:lang w:val="fr-FR"/>
        </w:rPr>
        <w:t>un double degré de juridiction en matière pénale.</w:t>
      </w:r>
    </w:p>
    <w:p w:rsidR="00EC5477" w:rsidRPr="00E21176" w:rsidRDefault="00EC5477" w:rsidP="00B56E2E">
      <w:pPr>
        <w:pStyle w:val="ECHRTitle1"/>
        <w:rPr>
          <w:lang w:val="fr-FR"/>
        </w:rPr>
      </w:pPr>
      <w:r w:rsidRPr="00E21176">
        <w:rPr>
          <w:lang w:val="fr-FR"/>
        </w:rPr>
        <w:t>EN DROIT</w:t>
      </w:r>
    </w:p>
    <w:p w:rsidR="00EC5477" w:rsidRDefault="00EC5477" w:rsidP="00B56E2E">
      <w:pPr>
        <w:pStyle w:val="ECHRHeading2"/>
        <w:rPr>
          <w:lang w:val="fr-FR"/>
        </w:rPr>
      </w:pPr>
      <w:r>
        <w:rPr>
          <w:lang w:val="fr-FR"/>
        </w:rPr>
        <w:t>A.  Griefs tirés de l</w:t>
      </w:r>
      <w:r w:rsidR="00300D45">
        <w:rPr>
          <w:lang w:val="fr-FR"/>
        </w:rPr>
        <w:t>’</w:t>
      </w:r>
      <w:r>
        <w:rPr>
          <w:lang w:val="fr-FR"/>
        </w:rPr>
        <w:t>article 6 de la Convention</w:t>
      </w:r>
    </w:p>
    <w:p w:rsidR="00EC5477" w:rsidRDefault="00EC5477" w:rsidP="00B56E2E">
      <w:pPr>
        <w:pStyle w:val="ECHRPara"/>
        <w:rPr>
          <w:lang w:val="fr-FR"/>
        </w:rPr>
      </w:pPr>
      <w:r>
        <w:rPr>
          <w:lang w:val="fr-FR"/>
        </w:rPr>
        <w:t>22.  Le requérant considère que la procédure pénale dont il a fait l</w:t>
      </w:r>
      <w:r w:rsidR="00300D45">
        <w:rPr>
          <w:lang w:val="fr-FR"/>
        </w:rPr>
        <w:t>’</w:t>
      </w:r>
      <w:r>
        <w:rPr>
          <w:lang w:val="fr-FR"/>
        </w:rPr>
        <w:t>objet n</w:t>
      </w:r>
      <w:r w:rsidR="00300D45">
        <w:rPr>
          <w:lang w:val="fr-FR"/>
        </w:rPr>
        <w:t>’</w:t>
      </w:r>
      <w:r>
        <w:rPr>
          <w:lang w:val="fr-FR"/>
        </w:rPr>
        <w:t>a pas été équitable. Il invoque l</w:t>
      </w:r>
      <w:r w:rsidR="00300D45">
        <w:rPr>
          <w:lang w:val="fr-FR"/>
        </w:rPr>
        <w:t>’</w:t>
      </w:r>
      <w:r>
        <w:rPr>
          <w:lang w:val="fr-FR"/>
        </w:rPr>
        <w:t>article 6 de la Convention, qui, en ses parties pertinentes, est ainsi libellé :</w:t>
      </w:r>
    </w:p>
    <w:p w:rsidR="00EC5477" w:rsidRPr="00F35071" w:rsidRDefault="00EC5477" w:rsidP="00B56E2E">
      <w:pPr>
        <w:pStyle w:val="ECHRParaQuote"/>
        <w:rPr>
          <w:lang w:val="fr-FR"/>
        </w:rPr>
      </w:pPr>
      <w:r w:rsidRPr="00F35071">
        <w:rPr>
          <w:lang w:val="fr-FR"/>
        </w:rPr>
        <w:t>« 1.  Toute personne a droit à ce que sa cause soit entendue équitablement</w:t>
      </w:r>
      <w:r>
        <w:rPr>
          <w:lang w:val="fr-FR"/>
        </w:rPr>
        <w:t xml:space="preserve"> (...)</w:t>
      </w:r>
      <w:r w:rsidRPr="00F35071">
        <w:rPr>
          <w:lang w:val="fr-FR"/>
        </w:rPr>
        <w:t xml:space="preserve"> par un tribunal </w:t>
      </w:r>
      <w:r>
        <w:rPr>
          <w:lang w:val="fr-FR"/>
        </w:rPr>
        <w:t>(...)</w:t>
      </w:r>
      <w:r w:rsidRPr="00F35071">
        <w:rPr>
          <w:lang w:val="fr-FR"/>
        </w:rPr>
        <w:t xml:space="preserve"> qui décidera</w:t>
      </w:r>
      <w:r>
        <w:rPr>
          <w:lang w:val="fr-FR"/>
        </w:rPr>
        <w:t xml:space="preserve"> (...) </w:t>
      </w:r>
      <w:r w:rsidRPr="00F35071">
        <w:rPr>
          <w:lang w:val="fr-FR"/>
        </w:rPr>
        <w:t>du bien-fondé de toute accusation en matière pénale dirigée contre elle</w:t>
      </w:r>
      <w:r>
        <w:rPr>
          <w:lang w:val="fr-FR"/>
        </w:rPr>
        <w:t>. (...)</w:t>
      </w:r>
      <w:r w:rsidRPr="00F35071">
        <w:rPr>
          <w:lang w:val="fr-FR"/>
        </w:rPr>
        <w:t>.</w:t>
      </w:r>
    </w:p>
    <w:p w:rsidR="00EC5477" w:rsidRPr="00F35071" w:rsidRDefault="00EC5477" w:rsidP="00B56E2E">
      <w:pPr>
        <w:pStyle w:val="ECHRParaQuote"/>
        <w:rPr>
          <w:lang w:val="fr-FR"/>
        </w:rPr>
      </w:pPr>
      <w:r>
        <w:rPr>
          <w:lang w:val="fr-FR"/>
        </w:rPr>
        <w:t>(...)</w:t>
      </w:r>
    </w:p>
    <w:p w:rsidR="00EC5477" w:rsidRPr="00F35071" w:rsidRDefault="00EC5477" w:rsidP="00B56E2E">
      <w:pPr>
        <w:pStyle w:val="ECHRParaQuote"/>
        <w:rPr>
          <w:lang w:val="fr-FR"/>
        </w:rPr>
      </w:pPr>
      <w:r w:rsidRPr="00F35071">
        <w:rPr>
          <w:lang w:val="fr-FR"/>
        </w:rPr>
        <w:t>3.  Tout accusé a droit notamment à :</w:t>
      </w:r>
    </w:p>
    <w:p w:rsidR="00EC5477" w:rsidRPr="00F35071" w:rsidRDefault="00EC5477" w:rsidP="00B56E2E">
      <w:pPr>
        <w:pStyle w:val="ECHRParaQuote"/>
        <w:rPr>
          <w:lang w:val="fr-FR"/>
        </w:rPr>
      </w:pPr>
      <w:r>
        <w:rPr>
          <w:lang w:val="fr-FR"/>
        </w:rPr>
        <w:t>(...)</w:t>
      </w:r>
    </w:p>
    <w:p w:rsidR="00EC5477" w:rsidRPr="00F35071" w:rsidRDefault="00EC5477" w:rsidP="00B56E2E">
      <w:pPr>
        <w:pStyle w:val="ECHRParaQuote"/>
        <w:rPr>
          <w:lang w:val="fr-FR"/>
        </w:rPr>
      </w:pPr>
      <w:r w:rsidRPr="00F35071">
        <w:rPr>
          <w:lang w:val="fr-FR"/>
        </w:rPr>
        <w:t>c)  se défendre lui-même ou avoir l</w:t>
      </w:r>
      <w:r w:rsidR="00300D45">
        <w:rPr>
          <w:lang w:val="fr-FR"/>
        </w:rPr>
        <w:t>’</w:t>
      </w:r>
      <w:r w:rsidRPr="00F35071">
        <w:rPr>
          <w:lang w:val="fr-FR"/>
        </w:rPr>
        <w:t>assistance d</w:t>
      </w:r>
      <w:r w:rsidR="00300D45">
        <w:rPr>
          <w:lang w:val="fr-FR"/>
        </w:rPr>
        <w:t>’</w:t>
      </w:r>
      <w:r w:rsidRPr="00F35071">
        <w:rPr>
          <w:lang w:val="fr-FR"/>
        </w:rPr>
        <w:t>un défenseur de son choix et, s</w:t>
      </w:r>
      <w:r w:rsidR="00300D45">
        <w:rPr>
          <w:lang w:val="fr-FR"/>
        </w:rPr>
        <w:t>’</w:t>
      </w:r>
      <w:r w:rsidRPr="00F35071">
        <w:rPr>
          <w:lang w:val="fr-FR"/>
        </w:rPr>
        <w:t>il n</w:t>
      </w:r>
      <w:r w:rsidR="00300D45">
        <w:rPr>
          <w:lang w:val="fr-FR"/>
        </w:rPr>
        <w:t>’</w:t>
      </w:r>
      <w:r w:rsidRPr="00F35071">
        <w:rPr>
          <w:lang w:val="fr-FR"/>
        </w:rPr>
        <w:t>a pas les moyens de rémunérer un défenseur, pouvoir être assisté gratuitement par un avocat d</w:t>
      </w:r>
      <w:r w:rsidR="00300D45">
        <w:rPr>
          <w:lang w:val="fr-FR"/>
        </w:rPr>
        <w:t>’</w:t>
      </w:r>
      <w:r w:rsidRPr="00F35071">
        <w:rPr>
          <w:lang w:val="fr-FR"/>
        </w:rPr>
        <w:t>office, lorsque les intérêts de la justice l</w:t>
      </w:r>
      <w:r w:rsidR="00300D45">
        <w:rPr>
          <w:lang w:val="fr-FR"/>
        </w:rPr>
        <w:t>’</w:t>
      </w:r>
      <w:r w:rsidRPr="00F35071">
        <w:rPr>
          <w:lang w:val="fr-FR"/>
        </w:rPr>
        <w:t>exigent ;</w:t>
      </w:r>
    </w:p>
    <w:p w:rsidR="00EC5477" w:rsidRPr="00F35071" w:rsidRDefault="00EC5477" w:rsidP="00B56E2E">
      <w:pPr>
        <w:pStyle w:val="ECHRParaQuote"/>
        <w:rPr>
          <w:lang w:val="fr-FR"/>
        </w:rPr>
      </w:pPr>
      <w:r w:rsidRPr="00F35071">
        <w:rPr>
          <w:lang w:val="fr-FR"/>
        </w:rPr>
        <w:t>d)  interroger ou faire interroger les témoins à charge et obtenir la convocation et l</w:t>
      </w:r>
      <w:r w:rsidR="00300D45">
        <w:rPr>
          <w:lang w:val="fr-FR"/>
        </w:rPr>
        <w:t>’</w:t>
      </w:r>
      <w:r w:rsidRPr="00F35071">
        <w:rPr>
          <w:lang w:val="fr-FR"/>
        </w:rPr>
        <w:t>interrogation des témoins à décharge dans les mêmes conditions que les témoins à charge ;</w:t>
      </w:r>
    </w:p>
    <w:p w:rsidR="00EC5477" w:rsidRPr="00F35071" w:rsidRDefault="00EC5477" w:rsidP="00B56E2E">
      <w:pPr>
        <w:pStyle w:val="ECHRParaQuote"/>
        <w:rPr>
          <w:lang w:val="fr-FR"/>
        </w:rPr>
      </w:pPr>
      <w:r>
        <w:rPr>
          <w:lang w:val="fr-FR"/>
        </w:rPr>
        <w:t>(...)</w:t>
      </w:r>
      <w:r w:rsidRPr="00F35071">
        <w:rPr>
          <w:lang w:val="fr-FR"/>
        </w:rPr>
        <w:t>. »</w:t>
      </w:r>
    </w:p>
    <w:p w:rsidR="00EC5477" w:rsidRDefault="00EC5477" w:rsidP="00B56E2E">
      <w:pPr>
        <w:pStyle w:val="ECHRPara"/>
        <w:rPr>
          <w:lang w:val="fr-FR"/>
        </w:rPr>
      </w:pPr>
      <w:r>
        <w:rPr>
          <w:lang w:val="fr-FR"/>
        </w:rPr>
        <w:lastRenderedPageBreak/>
        <w:t>23.  </w:t>
      </w:r>
      <w:r w:rsidRPr="0054100B">
        <w:rPr>
          <w:lang w:val="fr-FR"/>
        </w:rPr>
        <w:t>La Cour rappelle que les exigences d</w:t>
      </w:r>
      <w:r>
        <w:rPr>
          <w:lang w:val="fr-FR"/>
        </w:rPr>
        <w:t>u</w:t>
      </w:r>
      <w:r w:rsidRPr="0054100B">
        <w:rPr>
          <w:lang w:val="fr-FR"/>
        </w:rPr>
        <w:t xml:space="preserve"> paragraphe 3 de l</w:t>
      </w:r>
      <w:r w:rsidR="00300D45">
        <w:rPr>
          <w:lang w:val="fr-FR"/>
        </w:rPr>
        <w:t>’</w:t>
      </w:r>
      <w:r w:rsidRPr="0054100B">
        <w:rPr>
          <w:lang w:val="fr-FR"/>
        </w:rPr>
        <w:t>article 6 de la Convention représentent des aspects particuliers du droit à un procès équitable garanti par le paragraphe 1 de cette disposition. Partant, elle examinera les griefs du requérant sous l</w:t>
      </w:r>
      <w:r w:rsidR="00300D45">
        <w:rPr>
          <w:lang w:val="fr-FR"/>
        </w:rPr>
        <w:t>’</w:t>
      </w:r>
      <w:r w:rsidRPr="0054100B">
        <w:rPr>
          <w:lang w:val="fr-FR"/>
        </w:rPr>
        <w:t>angle de ces textes combinés (voir, parmi beaucoup d</w:t>
      </w:r>
      <w:r w:rsidR="00300D45">
        <w:rPr>
          <w:lang w:val="fr-FR"/>
        </w:rPr>
        <w:t>’</w:t>
      </w:r>
      <w:r w:rsidRPr="0054100B">
        <w:rPr>
          <w:lang w:val="fr-FR"/>
        </w:rPr>
        <w:t xml:space="preserve">autres, </w:t>
      </w:r>
      <w:r w:rsidRPr="0054100B">
        <w:rPr>
          <w:i/>
          <w:iCs/>
          <w:lang w:val="fr-FR"/>
        </w:rPr>
        <w:t>Van Geyseghem c.</w:t>
      </w:r>
      <w:r w:rsidR="008B757F">
        <w:rPr>
          <w:i/>
          <w:iCs/>
          <w:lang w:val="fr-FR"/>
        </w:rPr>
        <w:t xml:space="preserve"> </w:t>
      </w:r>
      <w:r w:rsidRPr="0054100B">
        <w:rPr>
          <w:i/>
          <w:iCs/>
          <w:lang w:val="fr-FR"/>
        </w:rPr>
        <w:t>Belgique</w:t>
      </w:r>
      <w:r w:rsidRPr="0054100B">
        <w:rPr>
          <w:lang w:val="fr-FR"/>
        </w:rPr>
        <w:t xml:space="preserve"> [GC], n</w:t>
      </w:r>
      <w:r w:rsidRPr="0054100B">
        <w:rPr>
          <w:vertAlign w:val="superscript"/>
          <w:lang w:val="fr-FR"/>
        </w:rPr>
        <w:t>o</w:t>
      </w:r>
      <w:r w:rsidR="008B757F">
        <w:rPr>
          <w:lang w:val="fr-FR"/>
        </w:rPr>
        <w:t xml:space="preserve"> </w:t>
      </w:r>
      <w:r w:rsidRPr="0054100B">
        <w:rPr>
          <w:lang w:val="fr-FR"/>
        </w:rPr>
        <w:t>26103/95, § 27, CEDH 1999-I).</w:t>
      </w:r>
    </w:p>
    <w:p w:rsidR="00EC5477" w:rsidRDefault="00EC5477" w:rsidP="00B56E2E">
      <w:pPr>
        <w:pStyle w:val="ECHRPara"/>
        <w:rPr>
          <w:szCs w:val="24"/>
          <w:lang w:val="fr-FR"/>
        </w:rPr>
      </w:pPr>
      <w:r>
        <w:rPr>
          <w:lang w:val="fr-FR"/>
        </w:rPr>
        <w:t>24.  </w:t>
      </w:r>
      <w:r w:rsidRPr="00C508A7">
        <w:rPr>
          <w:szCs w:val="24"/>
          <w:lang w:val="fr-FR"/>
        </w:rPr>
        <w:t>Elle rappelle aussi que, lorsqu</w:t>
      </w:r>
      <w:r w:rsidR="00300D45">
        <w:rPr>
          <w:szCs w:val="24"/>
          <w:lang w:val="fr-FR"/>
        </w:rPr>
        <w:t>’</w:t>
      </w:r>
      <w:r w:rsidRPr="00C508A7">
        <w:rPr>
          <w:szCs w:val="24"/>
          <w:lang w:val="fr-FR"/>
        </w:rPr>
        <w:t>elle examine un grief tiré de l</w:t>
      </w:r>
      <w:r w:rsidR="00300D45">
        <w:rPr>
          <w:szCs w:val="24"/>
          <w:lang w:val="fr-FR"/>
        </w:rPr>
        <w:t>’</w:t>
      </w:r>
      <w:r w:rsidRPr="00C508A7">
        <w:rPr>
          <w:szCs w:val="24"/>
          <w:lang w:val="fr-FR"/>
        </w:rPr>
        <w:t>article 6 de la Convention, elle doit essentiellement rechercher si la procédure pénale a revêtu un caractère équitable</w:t>
      </w:r>
      <w:bookmarkStart w:id="9" w:name="_DV_C464"/>
      <w:r w:rsidRPr="00C508A7">
        <w:rPr>
          <w:szCs w:val="24"/>
          <w:lang w:val="fr-FR"/>
        </w:rPr>
        <w:t xml:space="preserve"> (</w:t>
      </w:r>
      <w:r w:rsidRPr="00C508A7">
        <w:rPr>
          <w:i/>
          <w:szCs w:val="24"/>
          <w:lang w:val="fr-FR"/>
        </w:rPr>
        <w:t>Taxquet c. Belgique</w:t>
      </w:r>
      <w:r w:rsidRPr="00C508A7">
        <w:rPr>
          <w:szCs w:val="24"/>
          <w:lang w:val="fr-FR"/>
        </w:rPr>
        <w:t xml:space="preserve"> [GC], n</w:t>
      </w:r>
      <w:r w:rsidRPr="00C508A7">
        <w:rPr>
          <w:szCs w:val="24"/>
          <w:vertAlign w:val="superscript"/>
          <w:lang w:val="fr-FR"/>
        </w:rPr>
        <w:t>o</w:t>
      </w:r>
      <w:r w:rsidR="008B757F">
        <w:rPr>
          <w:szCs w:val="24"/>
          <w:lang w:val="fr-FR"/>
        </w:rPr>
        <w:t xml:space="preserve"> </w:t>
      </w:r>
      <w:r w:rsidRPr="00C508A7">
        <w:rPr>
          <w:szCs w:val="24"/>
          <w:lang w:val="fr-FR"/>
        </w:rPr>
        <w:t>926/05, § 84, CEDH 2010). Pour ce faire, elle envisage la procédure dans son ensemble</w:t>
      </w:r>
      <w:bookmarkEnd w:id="9"/>
      <w:r>
        <w:rPr>
          <w:szCs w:val="24"/>
          <w:lang w:val="fr-FR"/>
        </w:rPr>
        <w:t>.</w:t>
      </w:r>
    </w:p>
    <w:p w:rsidR="00EC5477" w:rsidRDefault="00EC5477" w:rsidP="00B56E2E">
      <w:pPr>
        <w:pStyle w:val="ECHRPara"/>
        <w:rPr>
          <w:lang w:val="fr-FR"/>
        </w:rPr>
      </w:pPr>
      <w:r>
        <w:rPr>
          <w:szCs w:val="24"/>
          <w:lang w:val="fr-FR"/>
        </w:rPr>
        <w:t>25.  </w:t>
      </w:r>
      <w:r w:rsidRPr="00C508A7">
        <w:rPr>
          <w:szCs w:val="24"/>
          <w:lang w:val="fr-FR"/>
        </w:rPr>
        <w:t>En la présente affaire, la Cour estime nécessaire d</w:t>
      </w:r>
      <w:r w:rsidR="00300D45">
        <w:rPr>
          <w:szCs w:val="24"/>
          <w:lang w:val="fr-FR"/>
        </w:rPr>
        <w:t>’</w:t>
      </w:r>
      <w:r w:rsidRPr="00C508A7">
        <w:rPr>
          <w:szCs w:val="24"/>
          <w:lang w:val="fr-FR"/>
        </w:rPr>
        <w:t>examiner d</w:t>
      </w:r>
      <w:r w:rsidR="00300D45">
        <w:rPr>
          <w:szCs w:val="24"/>
          <w:lang w:val="fr-FR"/>
        </w:rPr>
        <w:t>’</w:t>
      </w:r>
      <w:r w:rsidRPr="00C508A7">
        <w:rPr>
          <w:szCs w:val="24"/>
          <w:lang w:val="fr-FR"/>
        </w:rPr>
        <w:t>abord les différentes doléances du requérant séparément et de se livrer ensuite à une considération de l</w:t>
      </w:r>
      <w:r w:rsidR="00300D45">
        <w:rPr>
          <w:szCs w:val="24"/>
          <w:lang w:val="fr-FR"/>
        </w:rPr>
        <w:t>’</w:t>
      </w:r>
      <w:r w:rsidRPr="00C508A7">
        <w:rPr>
          <w:szCs w:val="24"/>
          <w:lang w:val="fr-FR"/>
        </w:rPr>
        <w:t>ensemble de la procédure</w:t>
      </w:r>
      <w:r>
        <w:rPr>
          <w:szCs w:val="24"/>
          <w:lang w:val="fr-FR"/>
        </w:rPr>
        <w:t xml:space="preserve"> (voir, </w:t>
      </w:r>
      <w:r>
        <w:rPr>
          <w:i/>
          <w:szCs w:val="24"/>
          <w:lang w:val="fr-FR"/>
        </w:rPr>
        <w:t xml:space="preserve">mutatis mutandis </w:t>
      </w:r>
      <w:r>
        <w:rPr>
          <w:szCs w:val="24"/>
          <w:lang w:val="fr-FR"/>
        </w:rPr>
        <w:t xml:space="preserve">et par exemple, </w:t>
      </w:r>
      <w:r>
        <w:rPr>
          <w:i/>
          <w:lang w:val="fr-FR"/>
        </w:rPr>
        <w:t xml:space="preserve">Sampech c. Italie </w:t>
      </w:r>
      <w:r>
        <w:rPr>
          <w:lang w:val="fr-FR"/>
        </w:rPr>
        <w:t>(déc.), n</w:t>
      </w:r>
      <w:r w:rsidRPr="00EC5477">
        <w:rPr>
          <w:vertAlign w:val="superscript"/>
          <w:lang w:val="fr-FR"/>
        </w:rPr>
        <w:t>o</w:t>
      </w:r>
      <w:r w:rsidR="008B757F">
        <w:rPr>
          <w:lang w:val="fr-FR"/>
        </w:rPr>
        <w:t xml:space="preserve"> </w:t>
      </w:r>
      <w:r w:rsidRPr="00EC5477">
        <w:rPr>
          <w:rStyle w:val="column01"/>
          <w:lang w:val="fr-FR"/>
        </w:rPr>
        <w:t>55546/09, §</w:t>
      </w:r>
      <w:r w:rsidR="008B757F">
        <w:rPr>
          <w:rStyle w:val="column01"/>
          <w:lang w:val="fr-FR"/>
        </w:rPr>
        <w:t xml:space="preserve"> </w:t>
      </w:r>
      <w:r w:rsidRPr="00EC5477">
        <w:rPr>
          <w:rStyle w:val="column01"/>
          <w:lang w:val="fr-FR"/>
        </w:rPr>
        <w:t>73, 19 mai 2015)</w:t>
      </w:r>
      <w:r w:rsidRPr="00C508A7">
        <w:rPr>
          <w:szCs w:val="24"/>
          <w:lang w:val="fr-FR"/>
        </w:rPr>
        <w:t>.</w:t>
      </w:r>
    </w:p>
    <w:p w:rsidR="00EC5477" w:rsidRDefault="00EC5477" w:rsidP="00B56E2E">
      <w:pPr>
        <w:pStyle w:val="ECHRHeading3"/>
        <w:rPr>
          <w:lang w:val="fr-FR"/>
        </w:rPr>
      </w:pPr>
      <w:r>
        <w:rPr>
          <w:lang w:val="fr-FR"/>
        </w:rPr>
        <w:t>1.</w:t>
      </w:r>
      <w:r w:rsidRPr="00AB57E5">
        <w:rPr>
          <w:lang w:val="fr-FR"/>
        </w:rPr>
        <w:t>  Grief tir</w:t>
      </w:r>
      <w:r>
        <w:rPr>
          <w:lang w:val="fr-FR"/>
        </w:rPr>
        <w:t>é</w:t>
      </w:r>
      <w:r w:rsidRPr="00AB57E5">
        <w:rPr>
          <w:lang w:val="fr-FR"/>
        </w:rPr>
        <w:t xml:space="preserve"> de l</w:t>
      </w:r>
      <w:r w:rsidR="00300D45">
        <w:rPr>
          <w:lang w:val="fr-FR"/>
        </w:rPr>
        <w:t>’</w:t>
      </w:r>
      <w:r w:rsidRPr="00AB57E5">
        <w:rPr>
          <w:lang w:val="fr-FR"/>
        </w:rPr>
        <w:t xml:space="preserve">absence du requérant </w:t>
      </w:r>
      <w:r>
        <w:rPr>
          <w:lang w:val="fr-FR"/>
        </w:rPr>
        <w:t>à l</w:t>
      </w:r>
      <w:r w:rsidR="00300D45">
        <w:rPr>
          <w:lang w:val="fr-FR"/>
        </w:rPr>
        <w:t>’</w:t>
      </w:r>
      <w:r>
        <w:rPr>
          <w:lang w:val="fr-FR"/>
        </w:rPr>
        <w:t>audience</w:t>
      </w:r>
      <w:r w:rsidRPr="00AB57E5">
        <w:rPr>
          <w:lang w:val="fr-FR"/>
        </w:rPr>
        <w:t xml:space="preserve"> d</w:t>
      </w:r>
      <w:r w:rsidR="00300D45">
        <w:rPr>
          <w:lang w:val="fr-FR"/>
        </w:rPr>
        <w:t>’</w:t>
      </w:r>
      <w:r w:rsidRPr="00AB57E5">
        <w:rPr>
          <w:lang w:val="fr-FR"/>
        </w:rPr>
        <w:t>appel</w:t>
      </w:r>
    </w:p>
    <w:p w:rsidR="00EC5477" w:rsidRDefault="00EC5477" w:rsidP="00B56E2E">
      <w:pPr>
        <w:pStyle w:val="ECHRPara"/>
        <w:rPr>
          <w:lang w:val="fr-FR"/>
        </w:rPr>
      </w:pPr>
      <w:r>
        <w:rPr>
          <w:lang w:val="fr-FR"/>
        </w:rPr>
        <w:t>26</w:t>
      </w:r>
      <w:r w:rsidRPr="003841FB">
        <w:rPr>
          <w:lang w:val="fr-FR"/>
        </w:rPr>
        <w:t>.  </w:t>
      </w:r>
      <w:r>
        <w:rPr>
          <w:lang w:val="fr-FR"/>
        </w:rPr>
        <w:t>Le requérant se plaint de ne pas avoir participé au procès d</w:t>
      </w:r>
      <w:r w:rsidR="00300D45">
        <w:rPr>
          <w:lang w:val="fr-FR"/>
        </w:rPr>
        <w:t>’</w:t>
      </w:r>
      <w:r>
        <w:rPr>
          <w:lang w:val="fr-FR"/>
        </w:rPr>
        <w:t>appel. Il allègue avoir été déclaré contumax sans avoir été informé de la date des débats, qui a été communiquée uniquement à son avocat. Ceci a été fait en application de l</w:t>
      </w:r>
      <w:r w:rsidR="00300D45">
        <w:rPr>
          <w:lang w:val="fr-FR"/>
        </w:rPr>
        <w:t>’</w:t>
      </w:r>
      <w:r>
        <w:rPr>
          <w:lang w:val="fr-FR"/>
        </w:rPr>
        <w:t>article 157 § 8</w:t>
      </w:r>
      <w:r>
        <w:rPr>
          <w:i/>
          <w:lang w:val="fr-FR"/>
        </w:rPr>
        <w:t xml:space="preserve">bis </w:t>
      </w:r>
      <w:r>
        <w:rPr>
          <w:lang w:val="fr-FR"/>
        </w:rPr>
        <w:t>du CPP, une disposition que le requérant considère contraire à la Convention, et qui n</w:t>
      </w:r>
      <w:r w:rsidR="00300D45">
        <w:rPr>
          <w:lang w:val="fr-FR"/>
        </w:rPr>
        <w:t>’</w:t>
      </w:r>
      <w:r>
        <w:rPr>
          <w:lang w:val="fr-FR"/>
        </w:rPr>
        <w:t>est entrée en vigueur que le 23 février 2005, lorsque le procès de première instance était en cours.</w:t>
      </w:r>
    </w:p>
    <w:p w:rsidR="00EC5477" w:rsidRDefault="00EC5477" w:rsidP="00B56E2E">
      <w:pPr>
        <w:pStyle w:val="ECHRPara"/>
        <w:rPr>
          <w:lang w:val="fr-FR"/>
        </w:rPr>
      </w:pPr>
      <w:r>
        <w:rPr>
          <w:lang w:val="fr-FR"/>
        </w:rPr>
        <w:t>27.  La Cour observe d</w:t>
      </w:r>
      <w:r w:rsidR="00300D45">
        <w:rPr>
          <w:lang w:val="fr-FR"/>
        </w:rPr>
        <w:t>’</w:t>
      </w:r>
      <w:r>
        <w:rPr>
          <w:lang w:val="fr-FR"/>
        </w:rPr>
        <w:t>emblée que la Cour de cassation a estimé que les notifications relatives au procès d</w:t>
      </w:r>
      <w:r w:rsidR="00300D45">
        <w:rPr>
          <w:lang w:val="fr-FR"/>
        </w:rPr>
        <w:t>’</w:t>
      </w:r>
      <w:r>
        <w:rPr>
          <w:lang w:val="fr-FR"/>
        </w:rPr>
        <w:t>appel étaient régulières en droit italien. Pour ce faire, elle a interprété l</w:t>
      </w:r>
      <w:r w:rsidR="00300D45">
        <w:rPr>
          <w:lang w:val="fr-FR"/>
        </w:rPr>
        <w:t>’</w:t>
      </w:r>
      <w:r>
        <w:rPr>
          <w:lang w:val="fr-FR"/>
        </w:rPr>
        <w:t>article 157 § 8</w:t>
      </w:r>
      <w:r>
        <w:rPr>
          <w:i/>
          <w:lang w:val="fr-FR"/>
        </w:rPr>
        <w:t xml:space="preserve">bis </w:t>
      </w:r>
      <w:r>
        <w:rPr>
          <w:lang w:val="fr-FR"/>
        </w:rPr>
        <w:t xml:space="preserve">du CPP (paragraphe </w:t>
      </w:r>
      <w:r>
        <w:rPr>
          <w:rFonts w:ascii="Lato" w:eastAsia="Times New Roman" w:hAnsi="Lato"/>
          <w:color w:val="0C0C0F"/>
          <w:sz w:val="26"/>
          <w:szCs w:val="26"/>
          <w:lang w:val="fr-FR" w:eastAsia="fr-FR"/>
        </w:rPr>
        <w:t>19</w:t>
      </w:r>
      <w:r>
        <w:rPr>
          <w:lang w:val="fr-FR"/>
        </w:rPr>
        <w:t xml:space="preserve"> ci</w:t>
      </w:r>
      <w:r>
        <w:rPr>
          <w:lang w:val="fr-FR"/>
        </w:rPr>
        <w:noBreakHyphen/>
        <w:t>dessus) conformément à sa jurisprudence bien établie. Selon cette interprétation, il était loisible à l</w:t>
      </w:r>
      <w:r w:rsidR="00300D45">
        <w:rPr>
          <w:lang w:val="fr-FR"/>
        </w:rPr>
        <w:t>’</w:t>
      </w:r>
      <w:r>
        <w:rPr>
          <w:lang w:val="fr-FR"/>
        </w:rPr>
        <w:t>avocat du requérant de refuser de recevoir les notifications au nom de son client, mais ce refus n</w:t>
      </w:r>
      <w:r w:rsidR="00300D45">
        <w:rPr>
          <w:lang w:val="fr-FR"/>
        </w:rPr>
        <w:t>’</w:t>
      </w:r>
      <w:r>
        <w:rPr>
          <w:lang w:val="fr-FR"/>
        </w:rPr>
        <w:t>était valide que s</w:t>
      </w:r>
      <w:r w:rsidR="00300D45">
        <w:rPr>
          <w:lang w:val="fr-FR"/>
        </w:rPr>
        <w:t>’</w:t>
      </w:r>
      <w:r>
        <w:rPr>
          <w:lang w:val="fr-FR"/>
        </w:rPr>
        <w:t>il était fait lors de la première communication relative au procès d</w:t>
      </w:r>
      <w:r w:rsidR="00300D45">
        <w:rPr>
          <w:lang w:val="fr-FR"/>
        </w:rPr>
        <w:t>’</w:t>
      </w:r>
      <w:r>
        <w:rPr>
          <w:lang w:val="fr-FR"/>
        </w:rPr>
        <w:t>appel, ce qui n</w:t>
      </w:r>
      <w:r w:rsidR="00300D45">
        <w:rPr>
          <w:lang w:val="fr-FR"/>
        </w:rPr>
        <w:t>’</w:t>
      </w:r>
      <w:r>
        <w:rPr>
          <w:lang w:val="fr-FR"/>
        </w:rPr>
        <w:t>avait pas été le cas en l</w:t>
      </w:r>
      <w:r w:rsidR="00300D45">
        <w:rPr>
          <w:lang w:val="fr-FR"/>
        </w:rPr>
        <w:t>’</w:t>
      </w:r>
      <w:r>
        <w:rPr>
          <w:lang w:val="fr-FR"/>
        </w:rPr>
        <w:t>espèce (paragraphe 16 ci-dessus).</w:t>
      </w:r>
    </w:p>
    <w:p w:rsidR="008B757F" w:rsidRDefault="00EC5477" w:rsidP="008B757F">
      <w:pPr>
        <w:pStyle w:val="ECHRPara"/>
        <w:rPr>
          <w:lang w:val="fr-FR"/>
        </w:rPr>
      </w:pPr>
      <w:bookmarkStart w:id="10" w:name="giur4istanza"/>
      <w:r>
        <w:rPr>
          <w:lang w:val="fr-FR"/>
        </w:rPr>
        <w:t>28</w:t>
      </w:r>
      <w:bookmarkEnd w:id="10"/>
      <w:r>
        <w:rPr>
          <w:lang w:val="fr-FR"/>
        </w:rPr>
        <w:t>.  </w:t>
      </w:r>
      <w:r w:rsidRPr="00FE5B9D">
        <w:rPr>
          <w:lang w:val="fr-FR"/>
        </w:rPr>
        <w:t>À cet égard, la Cour rappelle qu</w:t>
      </w:r>
      <w:r w:rsidR="00300D45">
        <w:rPr>
          <w:lang w:val="fr-FR"/>
        </w:rPr>
        <w:t>’</w:t>
      </w:r>
      <w:r w:rsidRPr="00FE5B9D">
        <w:rPr>
          <w:lang w:val="fr-FR"/>
        </w:rPr>
        <w:t>elle est compétente uniquement pour appliquer la Convention européenne des Droits de l</w:t>
      </w:r>
      <w:r w:rsidR="00300D45">
        <w:rPr>
          <w:lang w:val="fr-FR"/>
        </w:rPr>
        <w:t>’</w:t>
      </w:r>
      <w:r w:rsidRPr="00FE5B9D">
        <w:rPr>
          <w:lang w:val="fr-FR"/>
        </w:rPr>
        <w:t>Homme, et qu</w:t>
      </w:r>
      <w:r w:rsidR="00300D45">
        <w:rPr>
          <w:lang w:val="fr-FR"/>
        </w:rPr>
        <w:t>’</w:t>
      </w:r>
      <w:r w:rsidRPr="00FE5B9D">
        <w:rPr>
          <w:lang w:val="fr-FR"/>
        </w:rPr>
        <w:t>il ne lui appartient pas de connaître des erreurs de fait ou de droit prétendument commises par une juridiction interne, sauf si et dans la mesure où elles pourraient avoir porté atteinte aux droits et libertés sauvegardés par la Convention</w:t>
      </w:r>
      <w:r w:rsidRPr="00FE5B9D">
        <w:rPr>
          <w:i/>
          <w:lang w:val="fr-FR"/>
        </w:rPr>
        <w:t xml:space="preserve"> </w:t>
      </w:r>
      <w:r w:rsidRPr="00FE5B9D">
        <w:rPr>
          <w:lang w:val="fr-FR"/>
        </w:rPr>
        <w:t>(</w:t>
      </w:r>
      <w:r w:rsidRPr="00FE5B9D">
        <w:rPr>
          <w:i/>
          <w:lang w:val="fr-FR"/>
        </w:rPr>
        <w:t>García Ruiz c. Espagne</w:t>
      </w:r>
      <w:r w:rsidRPr="00FE5B9D">
        <w:rPr>
          <w:lang w:val="fr-FR"/>
        </w:rPr>
        <w:t xml:space="preserve"> [GC], n</w:t>
      </w:r>
      <w:r w:rsidRPr="00FE5B9D">
        <w:rPr>
          <w:vertAlign w:val="superscript"/>
          <w:lang w:val="fr-FR"/>
        </w:rPr>
        <w:t>o</w:t>
      </w:r>
      <w:r w:rsidRPr="00FE5B9D">
        <w:rPr>
          <w:lang w:val="fr-FR"/>
        </w:rPr>
        <w:t xml:space="preserve"> 30544/96, § 28, CEDH 1999-I, et, par rapport spécifiquement à la prétendue nullité d</w:t>
      </w:r>
      <w:r w:rsidR="00300D45">
        <w:rPr>
          <w:lang w:val="fr-FR"/>
        </w:rPr>
        <w:t>’</w:t>
      </w:r>
      <w:r w:rsidRPr="00FE5B9D">
        <w:rPr>
          <w:lang w:val="fr-FR"/>
        </w:rPr>
        <w:t xml:space="preserve">une notification, </w:t>
      </w:r>
      <w:r w:rsidRPr="00FE5B9D">
        <w:rPr>
          <w:i/>
          <w:lang w:val="fr-FR"/>
        </w:rPr>
        <w:t>Somogyi</w:t>
      </w:r>
      <w:r w:rsidRPr="00FE5B9D">
        <w:rPr>
          <w:i/>
          <w:szCs w:val="24"/>
          <w:lang w:val="fr-FR"/>
        </w:rPr>
        <w:t xml:space="preserve"> </w:t>
      </w:r>
      <w:r w:rsidRPr="00FE5B9D">
        <w:rPr>
          <w:i/>
          <w:lang w:val="fr-FR"/>
        </w:rPr>
        <w:t>c. Italie</w:t>
      </w:r>
      <w:r w:rsidRPr="00FE5B9D">
        <w:rPr>
          <w:lang w:val="fr-FR"/>
        </w:rPr>
        <w:t>, n</w:t>
      </w:r>
      <w:r w:rsidRPr="00FE5B9D">
        <w:rPr>
          <w:vertAlign w:val="superscript"/>
          <w:lang w:val="fr-FR"/>
        </w:rPr>
        <w:t>o</w:t>
      </w:r>
      <w:r w:rsidRPr="00C42D13">
        <w:rPr>
          <w:lang w:val="fr-FR"/>
        </w:rPr>
        <w:t xml:space="preserve"> 67972/01,</w:t>
      </w:r>
      <w:r w:rsidRPr="00FE5B9D">
        <w:rPr>
          <w:lang w:val="fr-FR"/>
        </w:rPr>
        <w:t xml:space="preserve"> §</w:t>
      </w:r>
      <w:r w:rsidR="008B757F">
        <w:rPr>
          <w:lang w:val="fr-FR"/>
        </w:rPr>
        <w:t xml:space="preserve"> </w:t>
      </w:r>
      <w:r w:rsidRPr="00FE5B9D">
        <w:rPr>
          <w:lang w:val="fr-FR"/>
        </w:rPr>
        <w:t>62, CEDH 2004-IV</w:t>
      </w:r>
      <w:r>
        <w:rPr>
          <w:lang w:val="fr-FR"/>
        </w:rPr>
        <w:t xml:space="preserve">, et </w:t>
      </w:r>
      <w:r>
        <w:rPr>
          <w:i/>
          <w:lang w:val="fr-FR"/>
        </w:rPr>
        <w:t xml:space="preserve">Hany c. Italie </w:t>
      </w:r>
      <w:r>
        <w:rPr>
          <w:lang w:val="fr-FR"/>
        </w:rPr>
        <w:t>(déc.), n</w:t>
      </w:r>
      <w:r w:rsidRPr="00EC5477">
        <w:rPr>
          <w:vertAlign w:val="superscript"/>
          <w:lang w:val="fr-FR"/>
        </w:rPr>
        <w:t>o</w:t>
      </w:r>
      <w:r>
        <w:rPr>
          <w:lang w:val="fr-FR"/>
        </w:rPr>
        <w:t xml:space="preserve"> </w:t>
      </w:r>
      <w:r w:rsidRPr="004F02EA">
        <w:rPr>
          <w:lang w:val="fr-FR"/>
        </w:rPr>
        <w:t>17543/05</w:t>
      </w:r>
      <w:r>
        <w:rPr>
          <w:lang w:val="fr-FR"/>
        </w:rPr>
        <w:t>, 6 novembre 2007</w:t>
      </w:r>
      <w:r w:rsidRPr="00FE5B9D">
        <w:rPr>
          <w:lang w:val="fr-FR"/>
        </w:rPr>
        <w:t>).</w:t>
      </w:r>
    </w:p>
    <w:p w:rsidR="00EC5477" w:rsidRDefault="00EC5477" w:rsidP="008B757F">
      <w:pPr>
        <w:pStyle w:val="ECHRPara"/>
        <w:rPr>
          <w:lang w:val="fr-FR"/>
        </w:rPr>
      </w:pPr>
      <w:r w:rsidRPr="00300D45">
        <w:rPr>
          <w:lang w:val="fr-FR"/>
        </w:rPr>
        <w:t>29.  La Cour n</w:t>
      </w:r>
      <w:r w:rsidR="00300D45">
        <w:rPr>
          <w:lang w:val="fr-FR"/>
        </w:rPr>
        <w:t>’</w:t>
      </w:r>
      <w:r w:rsidRPr="00300D45">
        <w:rPr>
          <w:lang w:val="fr-FR"/>
        </w:rPr>
        <w:t>est donc pas appelée à se prononcer sur la régularité, en</w:t>
      </w:r>
      <w:r w:rsidRPr="00FE5B9D">
        <w:rPr>
          <w:lang w:val="fr-FR"/>
        </w:rPr>
        <w:t xml:space="preserve"> droit italien, de la notification de l</w:t>
      </w:r>
      <w:r w:rsidR="00300D45">
        <w:rPr>
          <w:lang w:val="fr-FR"/>
        </w:rPr>
        <w:t>’</w:t>
      </w:r>
      <w:r w:rsidRPr="00FE5B9D">
        <w:rPr>
          <w:lang w:val="fr-FR"/>
        </w:rPr>
        <w:t>avis de fixation de l</w:t>
      </w:r>
      <w:r w:rsidR="00300D45">
        <w:rPr>
          <w:lang w:val="fr-FR"/>
        </w:rPr>
        <w:t>’</w:t>
      </w:r>
      <w:r w:rsidRPr="00FE5B9D">
        <w:rPr>
          <w:lang w:val="fr-FR"/>
        </w:rPr>
        <w:t xml:space="preserve">audience </w:t>
      </w:r>
      <w:r>
        <w:rPr>
          <w:lang w:val="fr-FR"/>
        </w:rPr>
        <w:t>d</w:t>
      </w:r>
      <w:r w:rsidR="00300D45">
        <w:rPr>
          <w:lang w:val="fr-FR"/>
        </w:rPr>
        <w:t>’</w:t>
      </w:r>
      <w:r>
        <w:rPr>
          <w:lang w:val="fr-FR"/>
        </w:rPr>
        <w:t>appel du 17 juin 2011</w:t>
      </w:r>
      <w:r w:rsidRPr="00FE5B9D">
        <w:rPr>
          <w:lang w:val="fr-FR"/>
        </w:rPr>
        <w:t>, effectuée auprès de l</w:t>
      </w:r>
      <w:r w:rsidR="00300D45">
        <w:rPr>
          <w:lang w:val="fr-FR"/>
        </w:rPr>
        <w:t>’</w:t>
      </w:r>
      <w:r w:rsidRPr="00FE5B9D">
        <w:rPr>
          <w:lang w:val="fr-FR"/>
        </w:rPr>
        <w:t>avocat du requérant. Elle doit en revanche vérifier si la procédure pénale menée contre le requérant a revêtu un caractère équitable (voir, parmi beaucoup d</w:t>
      </w:r>
      <w:r w:rsidR="00300D45">
        <w:rPr>
          <w:lang w:val="fr-FR"/>
        </w:rPr>
        <w:t>’</w:t>
      </w:r>
      <w:r w:rsidRPr="00FE5B9D">
        <w:rPr>
          <w:lang w:val="fr-FR"/>
        </w:rPr>
        <w:t>autres,</w:t>
      </w:r>
      <w:r w:rsidRPr="00FE5B9D">
        <w:rPr>
          <w:i/>
          <w:lang w:val="fr-FR"/>
        </w:rPr>
        <w:t xml:space="preserve"> Van Mechelen et </w:t>
      </w:r>
      <w:r w:rsidRPr="00FE5B9D">
        <w:rPr>
          <w:i/>
          <w:lang w:val="fr-FR"/>
        </w:rPr>
        <w:lastRenderedPageBreak/>
        <w:t>autres c. Pays-Bas</w:t>
      </w:r>
      <w:r w:rsidRPr="00FE5B9D">
        <w:rPr>
          <w:lang w:val="fr-FR"/>
        </w:rPr>
        <w:t xml:space="preserve">, </w:t>
      </w:r>
      <w:r>
        <w:rPr>
          <w:lang w:val="fr-FR"/>
        </w:rPr>
        <w:t>d</w:t>
      </w:r>
      <w:r w:rsidRPr="00FE5B9D">
        <w:rPr>
          <w:lang w:val="fr-FR"/>
        </w:rPr>
        <w:t xml:space="preserve">u 23 avril 1997, </w:t>
      </w:r>
      <w:r>
        <w:rPr>
          <w:lang w:val="fr-FR"/>
        </w:rPr>
        <w:t xml:space="preserve">§ 50, </w:t>
      </w:r>
      <w:r w:rsidRPr="00FE5B9D">
        <w:rPr>
          <w:i/>
          <w:lang w:val="fr-FR"/>
        </w:rPr>
        <w:t xml:space="preserve">Recueil des arrêts et décisions </w:t>
      </w:r>
      <w:r>
        <w:rPr>
          <w:lang w:val="fr-FR"/>
        </w:rPr>
        <w:t>1997-III</w:t>
      </w:r>
      <w:r w:rsidRPr="00FE5B9D">
        <w:rPr>
          <w:lang w:val="fr-FR"/>
        </w:rPr>
        <w:t>), en recherchant si les effets de la notification litigieuse ont porté atteinte aux droits de la défense au point d</w:t>
      </w:r>
      <w:r w:rsidR="00300D45">
        <w:rPr>
          <w:lang w:val="fr-FR"/>
        </w:rPr>
        <w:t>’</w:t>
      </w:r>
      <w:r w:rsidRPr="00FE5B9D">
        <w:rPr>
          <w:lang w:val="fr-FR"/>
        </w:rPr>
        <w:t>enfreindre l</w:t>
      </w:r>
      <w:r w:rsidR="00300D45">
        <w:rPr>
          <w:lang w:val="fr-FR"/>
        </w:rPr>
        <w:t>’</w:t>
      </w:r>
      <w:r w:rsidRPr="00FE5B9D">
        <w:rPr>
          <w:lang w:val="fr-FR"/>
        </w:rPr>
        <w:t>article 6 de la Convention</w:t>
      </w:r>
      <w:r>
        <w:rPr>
          <w:lang w:val="fr-FR"/>
        </w:rPr>
        <w:t xml:space="preserve"> (voir, notamment, </w:t>
      </w:r>
      <w:r>
        <w:rPr>
          <w:i/>
          <w:lang w:val="fr-FR"/>
        </w:rPr>
        <w:t>Hany</w:t>
      </w:r>
      <w:r>
        <w:rPr>
          <w:lang w:val="fr-FR"/>
        </w:rPr>
        <w:t>, décision précitée)</w:t>
      </w:r>
      <w:r w:rsidRPr="00FE5B9D">
        <w:rPr>
          <w:lang w:val="fr-FR"/>
        </w:rPr>
        <w:t>.</w:t>
      </w:r>
    </w:p>
    <w:p w:rsidR="00EC5477" w:rsidRDefault="00EC5477" w:rsidP="00B56E2E">
      <w:pPr>
        <w:pStyle w:val="ECHRPara"/>
        <w:rPr>
          <w:lang w:val="fr-FR"/>
        </w:rPr>
      </w:pPr>
      <w:r>
        <w:rPr>
          <w:lang w:val="fr-FR"/>
        </w:rPr>
        <w:t xml:space="preserve">30.  La Cour note de surcroît que le </w:t>
      </w:r>
      <w:r w:rsidRPr="00FE5B9D">
        <w:rPr>
          <w:lang w:val="fr-FR"/>
        </w:rPr>
        <w:t>requérant, qui a participé aux débats de</w:t>
      </w:r>
      <w:r>
        <w:rPr>
          <w:lang w:val="fr-FR"/>
        </w:rPr>
        <w:t>vant le tribunal de Pérouse</w:t>
      </w:r>
      <w:r w:rsidRPr="00FE5B9D">
        <w:rPr>
          <w:lang w:val="fr-FR"/>
        </w:rPr>
        <w:t>, n</w:t>
      </w:r>
      <w:r w:rsidR="00300D45">
        <w:rPr>
          <w:lang w:val="fr-FR"/>
        </w:rPr>
        <w:t>’</w:t>
      </w:r>
      <w:r w:rsidRPr="00FE5B9D">
        <w:rPr>
          <w:lang w:val="fr-FR"/>
        </w:rPr>
        <w:t>a pas été jugé par contumace</w:t>
      </w:r>
      <w:r>
        <w:rPr>
          <w:lang w:val="fr-FR"/>
        </w:rPr>
        <w:t xml:space="preserve"> en première instance. Seule son absence à l</w:t>
      </w:r>
      <w:r w:rsidR="00300D45">
        <w:rPr>
          <w:lang w:val="fr-FR"/>
        </w:rPr>
        <w:t>’</w:t>
      </w:r>
      <w:r>
        <w:rPr>
          <w:lang w:val="fr-FR"/>
        </w:rPr>
        <w:t>audience d</w:t>
      </w:r>
      <w:r w:rsidR="00300D45">
        <w:rPr>
          <w:lang w:val="fr-FR"/>
        </w:rPr>
        <w:t>’</w:t>
      </w:r>
      <w:r>
        <w:rPr>
          <w:lang w:val="fr-FR"/>
        </w:rPr>
        <w:t>appel du 17 juin 2001 est en cause en la présente affaire.</w:t>
      </w:r>
    </w:p>
    <w:p w:rsidR="00EC5477" w:rsidRPr="005D0AA6" w:rsidRDefault="00EC5477" w:rsidP="00B56E2E">
      <w:pPr>
        <w:pStyle w:val="ECHRPara"/>
        <w:rPr>
          <w:lang w:val="fr-FR"/>
        </w:rPr>
      </w:pPr>
      <w:r>
        <w:rPr>
          <w:lang w:val="fr-FR"/>
        </w:rPr>
        <w:t>31.  </w:t>
      </w:r>
      <w:r w:rsidRPr="005D0AA6">
        <w:rPr>
          <w:lang w:val="fr-FR"/>
        </w:rPr>
        <w:t>Les principes généraux en matière de procès par contumace sont énoncés dans l</w:t>
      </w:r>
      <w:r w:rsidR="00300D45">
        <w:rPr>
          <w:lang w:val="fr-FR"/>
        </w:rPr>
        <w:t>’</w:t>
      </w:r>
      <w:r w:rsidRPr="005D0AA6">
        <w:rPr>
          <w:lang w:val="fr-FR"/>
        </w:rPr>
        <w:t xml:space="preserve">arrêt </w:t>
      </w:r>
      <w:r w:rsidRPr="005D0AA6">
        <w:rPr>
          <w:i/>
          <w:lang w:val="fr-FR"/>
        </w:rPr>
        <w:t>Sejdovic</w:t>
      </w:r>
      <w:r>
        <w:rPr>
          <w:i/>
          <w:lang w:val="fr-FR"/>
        </w:rPr>
        <w:t xml:space="preserve"> </w:t>
      </w:r>
      <w:r w:rsidRPr="005D0AA6">
        <w:rPr>
          <w:i/>
          <w:snapToGrid w:val="0"/>
          <w:lang w:val="fr-FR"/>
        </w:rPr>
        <w:t xml:space="preserve">c. Italie </w:t>
      </w:r>
      <w:r>
        <w:rPr>
          <w:snapToGrid w:val="0"/>
          <w:lang w:val="fr-FR"/>
        </w:rPr>
        <w:t>(</w:t>
      </w:r>
      <w:r w:rsidRPr="005D0AA6">
        <w:rPr>
          <w:snapToGrid w:val="0"/>
          <w:lang w:val="fr-FR"/>
        </w:rPr>
        <w:t>[GC], n</w:t>
      </w:r>
      <w:r w:rsidRPr="005D0AA6">
        <w:rPr>
          <w:snapToGrid w:val="0"/>
          <w:vertAlign w:val="superscript"/>
          <w:lang w:val="fr-FR"/>
        </w:rPr>
        <w:t>o</w:t>
      </w:r>
      <w:r w:rsidRPr="005D0AA6">
        <w:rPr>
          <w:snapToGrid w:val="0"/>
          <w:lang w:val="fr-FR"/>
        </w:rPr>
        <w:t xml:space="preserve"> 56581/00, §§ </w:t>
      </w:r>
      <w:r>
        <w:rPr>
          <w:snapToGrid w:val="0"/>
          <w:lang w:val="fr-FR"/>
        </w:rPr>
        <w:t>81</w:t>
      </w:r>
      <w:r w:rsidRPr="005D0AA6">
        <w:rPr>
          <w:snapToGrid w:val="0"/>
          <w:lang w:val="fr-FR"/>
        </w:rPr>
        <w:t>-</w:t>
      </w:r>
      <w:r>
        <w:rPr>
          <w:snapToGrid w:val="0"/>
          <w:lang w:val="fr-FR"/>
        </w:rPr>
        <w:t>95</w:t>
      </w:r>
      <w:r w:rsidRPr="005D0AA6">
        <w:rPr>
          <w:snapToGrid w:val="0"/>
          <w:lang w:val="fr-FR"/>
        </w:rPr>
        <w:t xml:space="preserve">, </w:t>
      </w:r>
      <w:r>
        <w:rPr>
          <w:snapToGrid w:val="0"/>
          <w:lang w:val="fr-FR"/>
        </w:rPr>
        <w:t>CEDH</w:t>
      </w:r>
      <w:r w:rsidRPr="005D0AA6">
        <w:rPr>
          <w:snapToGrid w:val="0"/>
          <w:lang w:val="fr-FR"/>
        </w:rPr>
        <w:t xml:space="preserve"> 2006</w:t>
      </w:r>
      <w:r>
        <w:rPr>
          <w:snapToGrid w:val="0"/>
          <w:lang w:val="fr-FR"/>
        </w:rPr>
        <w:t>-II)</w:t>
      </w:r>
      <w:r w:rsidRPr="005D0AA6">
        <w:rPr>
          <w:lang w:val="fr-FR"/>
        </w:rPr>
        <w:t>.</w:t>
      </w:r>
    </w:p>
    <w:p w:rsidR="00EC5477" w:rsidRDefault="00EC5477" w:rsidP="00B56E2E">
      <w:pPr>
        <w:pStyle w:val="ECHRPara"/>
        <w:rPr>
          <w:lang w:val="fr-FR"/>
        </w:rPr>
      </w:pPr>
      <w:r>
        <w:rPr>
          <w:lang w:val="fr-FR"/>
        </w:rPr>
        <w:t>32.  </w:t>
      </w:r>
      <w:r w:rsidRPr="005D0AA6">
        <w:rPr>
          <w:lang w:val="fr-FR"/>
        </w:rPr>
        <w:t xml:space="preserve">Faisant application de ces principes </w:t>
      </w:r>
      <w:r>
        <w:rPr>
          <w:lang w:val="fr-FR"/>
        </w:rPr>
        <w:t>en l</w:t>
      </w:r>
      <w:r w:rsidR="00300D45">
        <w:rPr>
          <w:lang w:val="fr-FR"/>
        </w:rPr>
        <w:t>’</w:t>
      </w:r>
      <w:r w:rsidRPr="005D0AA6">
        <w:rPr>
          <w:lang w:val="fr-FR"/>
        </w:rPr>
        <w:t>espèce, la Cour note que le requérant a été informé des poursuites et de</w:t>
      </w:r>
      <w:r>
        <w:rPr>
          <w:lang w:val="fr-FR"/>
        </w:rPr>
        <w:t>s débats de première instance. De toute évidence, il a également eu connaissance de sa condamnation par le tribunal de Pérouse, car il a interjeté appel contre celle-ci par l</w:t>
      </w:r>
      <w:r w:rsidR="00300D45">
        <w:rPr>
          <w:lang w:val="fr-FR"/>
        </w:rPr>
        <w:t>’</w:t>
      </w:r>
      <w:r>
        <w:rPr>
          <w:lang w:val="fr-FR"/>
        </w:rPr>
        <w:t>intermédiaire de l</w:t>
      </w:r>
      <w:r w:rsidR="00300D45">
        <w:rPr>
          <w:lang w:val="fr-FR"/>
        </w:rPr>
        <w:t>’</w:t>
      </w:r>
      <w:r>
        <w:rPr>
          <w:lang w:val="fr-FR"/>
        </w:rPr>
        <w:t>avocat de son choix, M</w:t>
      </w:r>
      <w:r w:rsidRPr="00307191">
        <w:rPr>
          <w:vertAlign w:val="superscript"/>
          <w:lang w:val="fr-FR"/>
        </w:rPr>
        <w:t>e</w:t>
      </w:r>
      <w:r>
        <w:rPr>
          <w:lang w:val="fr-FR"/>
        </w:rPr>
        <w:t xml:space="preserve"> A (paragraphe 9 ci-dessus). </w:t>
      </w:r>
      <w:r w:rsidRPr="005D0AA6">
        <w:rPr>
          <w:lang w:val="fr-FR"/>
        </w:rPr>
        <w:t>Sa situation est donc différente de celle de M. Sejdovic, qui ne fut jamais atteint par une notification à personne (</w:t>
      </w:r>
      <w:r w:rsidRPr="005D0AA6">
        <w:rPr>
          <w:i/>
          <w:lang w:val="fr-FR"/>
        </w:rPr>
        <w:t xml:space="preserve">Sejdovic </w:t>
      </w:r>
      <w:r w:rsidRPr="005D0AA6">
        <w:rPr>
          <w:lang w:val="fr-FR"/>
        </w:rPr>
        <w:t>précité, § 96).</w:t>
      </w:r>
    </w:p>
    <w:p w:rsidR="00EC5477" w:rsidRDefault="00EC5477" w:rsidP="00B56E2E">
      <w:pPr>
        <w:pStyle w:val="ECHRPara"/>
        <w:rPr>
          <w:lang w:val="fr-FR"/>
        </w:rPr>
      </w:pPr>
      <w:r>
        <w:rPr>
          <w:lang w:val="fr-FR"/>
        </w:rPr>
        <w:t>33.  La Cour estime aussi établi que le requérant avait connaissance de la date initialement fixée pour les débats d</w:t>
      </w:r>
      <w:r w:rsidR="00300D45">
        <w:rPr>
          <w:lang w:val="fr-FR"/>
        </w:rPr>
        <w:t>’</w:t>
      </w:r>
      <w:r>
        <w:rPr>
          <w:lang w:val="fr-FR"/>
        </w:rPr>
        <w:t>appel, à savoir le 21 janvier 2011. En effet, il a produit un certificat médical dans le but d</w:t>
      </w:r>
      <w:r w:rsidR="00300D45">
        <w:rPr>
          <w:lang w:val="fr-FR"/>
        </w:rPr>
        <w:t>’</w:t>
      </w:r>
      <w:r>
        <w:rPr>
          <w:lang w:val="fr-FR"/>
        </w:rPr>
        <w:t>obtenir le renvoi de cette audience (paragraphe 10 ci-dessus).</w:t>
      </w:r>
    </w:p>
    <w:p w:rsidR="00EC5477" w:rsidRDefault="00EC5477" w:rsidP="00B56E2E">
      <w:pPr>
        <w:pStyle w:val="ECHRPara"/>
        <w:rPr>
          <w:lang w:val="fr-FR"/>
        </w:rPr>
      </w:pPr>
      <w:r>
        <w:rPr>
          <w:lang w:val="fr-FR"/>
        </w:rPr>
        <w:t>34.  Dans ces circonstances, la Cour considère qu</w:t>
      </w:r>
      <w:r w:rsidR="00300D45">
        <w:rPr>
          <w:lang w:val="fr-FR"/>
        </w:rPr>
        <w:t>’</w:t>
      </w:r>
      <w:r>
        <w:rPr>
          <w:lang w:val="fr-FR"/>
        </w:rPr>
        <w:t xml:space="preserve">il appartenait au requérant </w:t>
      </w:r>
      <w:r w:rsidRPr="003C4AF8">
        <w:rPr>
          <w:lang w:val="fr-FR"/>
        </w:rPr>
        <w:t xml:space="preserve">de prendre contact avec </w:t>
      </w:r>
      <w:r>
        <w:rPr>
          <w:lang w:val="fr-FR"/>
        </w:rPr>
        <w:t xml:space="preserve">le conseil de son choix </w:t>
      </w:r>
      <w:r w:rsidRPr="003C4AF8">
        <w:rPr>
          <w:lang w:val="fr-FR"/>
        </w:rPr>
        <w:t xml:space="preserve">pour </w:t>
      </w:r>
      <w:r>
        <w:rPr>
          <w:lang w:val="fr-FR"/>
        </w:rPr>
        <w:t>savoir si le renvoi sollicité avait été octroyé et, dans l</w:t>
      </w:r>
      <w:r w:rsidR="00300D45">
        <w:rPr>
          <w:lang w:val="fr-FR"/>
        </w:rPr>
        <w:t>’</w:t>
      </w:r>
      <w:r>
        <w:rPr>
          <w:lang w:val="fr-FR"/>
        </w:rPr>
        <w:t>affirmative, quelle date avait été fixée pour les débats d</w:t>
      </w:r>
      <w:r w:rsidR="00300D45">
        <w:rPr>
          <w:lang w:val="fr-FR"/>
        </w:rPr>
        <w:t>’</w:t>
      </w:r>
      <w:r>
        <w:rPr>
          <w:lang w:val="fr-FR"/>
        </w:rPr>
        <w:t xml:space="preserve">appel (voir, </w:t>
      </w:r>
      <w:r>
        <w:rPr>
          <w:i/>
          <w:lang w:val="fr-FR"/>
        </w:rPr>
        <w:t>mutatis mutandis</w:t>
      </w:r>
      <w:r>
        <w:rPr>
          <w:lang w:val="fr-FR"/>
        </w:rPr>
        <w:t xml:space="preserve">, </w:t>
      </w:r>
      <w:r>
        <w:rPr>
          <w:i/>
          <w:lang w:val="fr-FR"/>
        </w:rPr>
        <w:t xml:space="preserve">Booker c. Italie </w:t>
      </w:r>
      <w:r>
        <w:rPr>
          <w:lang w:val="fr-FR"/>
        </w:rPr>
        <w:t>(déc.), n</w:t>
      </w:r>
      <w:r w:rsidRPr="00EC5477">
        <w:rPr>
          <w:vertAlign w:val="superscript"/>
          <w:lang w:val="fr-FR"/>
        </w:rPr>
        <w:t>o</w:t>
      </w:r>
      <w:r>
        <w:rPr>
          <w:lang w:val="fr-FR"/>
        </w:rPr>
        <w:t> </w:t>
      </w:r>
      <w:r w:rsidRPr="005D0AA6">
        <w:rPr>
          <w:lang w:val="fr-FR"/>
        </w:rPr>
        <w:t>12648/06</w:t>
      </w:r>
      <w:r>
        <w:rPr>
          <w:lang w:val="fr-FR"/>
        </w:rPr>
        <w:t>, 14 septembre 2006). L</w:t>
      </w:r>
      <w:r w:rsidR="00300D45">
        <w:rPr>
          <w:lang w:val="fr-FR"/>
        </w:rPr>
        <w:t>’</w:t>
      </w:r>
      <w:r>
        <w:rPr>
          <w:lang w:val="fr-FR"/>
        </w:rPr>
        <w:t>intéressé aurait pu également</w:t>
      </w:r>
      <w:r w:rsidRPr="003C4AF8">
        <w:rPr>
          <w:lang w:val="fr-FR"/>
        </w:rPr>
        <w:t xml:space="preserve"> s</w:t>
      </w:r>
      <w:r w:rsidR="00300D45">
        <w:rPr>
          <w:lang w:val="fr-FR"/>
        </w:rPr>
        <w:t>’</w:t>
      </w:r>
      <w:r w:rsidRPr="003C4AF8">
        <w:rPr>
          <w:lang w:val="fr-FR"/>
        </w:rPr>
        <w:t>adresser au greffe d</w:t>
      </w:r>
      <w:r>
        <w:rPr>
          <w:lang w:val="fr-FR"/>
        </w:rPr>
        <w:t>e la cour d</w:t>
      </w:r>
      <w:r w:rsidR="00300D45">
        <w:rPr>
          <w:lang w:val="fr-FR"/>
        </w:rPr>
        <w:t>’</w:t>
      </w:r>
      <w:r>
        <w:rPr>
          <w:lang w:val="fr-FR"/>
        </w:rPr>
        <w:t>appel</w:t>
      </w:r>
      <w:r w:rsidRPr="003C4AF8">
        <w:rPr>
          <w:lang w:val="fr-FR"/>
        </w:rPr>
        <w:t xml:space="preserve"> pour se renseigner </w:t>
      </w:r>
      <w:r>
        <w:rPr>
          <w:lang w:val="fr-FR"/>
        </w:rPr>
        <w:t>quant au déroulement</w:t>
      </w:r>
      <w:r w:rsidRPr="003C4AF8">
        <w:rPr>
          <w:lang w:val="fr-FR"/>
        </w:rPr>
        <w:t xml:space="preserve"> de son procès</w:t>
      </w:r>
      <w:r>
        <w:rPr>
          <w:lang w:val="fr-FR"/>
        </w:rPr>
        <w:t>.</w:t>
      </w:r>
    </w:p>
    <w:p w:rsidR="00EC5477" w:rsidRDefault="00EC5477" w:rsidP="00B56E2E">
      <w:pPr>
        <w:pStyle w:val="ECHRPara"/>
        <w:rPr>
          <w:lang w:val="fr-FR"/>
        </w:rPr>
      </w:pPr>
      <w:r>
        <w:rPr>
          <w:lang w:val="fr-FR"/>
        </w:rPr>
        <w:t>35.  Il ne ressort pas du dossier si le requérant a, ou non, entamé de telles démarches. En revanche, il apparaît que, sans alléguer aucun empêchement légitime, l</w:t>
      </w:r>
      <w:r w:rsidR="00300D45">
        <w:rPr>
          <w:lang w:val="fr-FR"/>
        </w:rPr>
        <w:t>’</w:t>
      </w:r>
      <w:r>
        <w:rPr>
          <w:lang w:val="fr-FR"/>
        </w:rPr>
        <w:t>intéressé ne s</w:t>
      </w:r>
      <w:r w:rsidR="00300D45">
        <w:rPr>
          <w:lang w:val="fr-FR"/>
        </w:rPr>
        <w:t>’</w:t>
      </w:r>
      <w:r>
        <w:rPr>
          <w:lang w:val="fr-FR"/>
        </w:rPr>
        <w:t>est pas rendu à l</w:t>
      </w:r>
      <w:r w:rsidR="00300D45">
        <w:rPr>
          <w:lang w:val="fr-FR"/>
        </w:rPr>
        <w:t>’</w:t>
      </w:r>
      <w:r>
        <w:rPr>
          <w:lang w:val="fr-FR"/>
        </w:rPr>
        <w:t>audience du 17 juin 2011, et a été déclaré contumax. Son conseil, M</w:t>
      </w:r>
      <w:r w:rsidRPr="003C4AF8">
        <w:rPr>
          <w:vertAlign w:val="superscript"/>
          <w:lang w:val="fr-FR"/>
        </w:rPr>
        <w:t>e</w:t>
      </w:r>
      <w:r>
        <w:rPr>
          <w:lang w:val="fr-FR"/>
        </w:rPr>
        <w:t xml:space="preserve"> A, était présent dans le prétoire et il ne ressort pas des documents produits devant la Cour qu</w:t>
      </w:r>
      <w:r w:rsidR="00300D45">
        <w:rPr>
          <w:lang w:val="fr-FR"/>
        </w:rPr>
        <w:t>’</w:t>
      </w:r>
      <w:r>
        <w:rPr>
          <w:lang w:val="fr-FR"/>
        </w:rPr>
        <w:t>il ait demandé un ajournement au nom de son client.</w:t>
      </w:r>
    </w:p>
    <w:p w:rsidR="00EC5477" w:rsidRDefault="00EC5477" w:rsidP="00B56E2E">
      <w:pPr>
        <w:pStyle w:val="ECHRPara"/>
        <w:rPr>
          <w:lang w:val="fr-FR"/>
        </w:rPr>
      </w:pPr>
      <w:r>
        <w:rPr>
          <w:lang w:val="fr-FR"/>
        </w:rPr>
        <w:t>36.  </w:t>
      </w:r>
      <w:r w:rsidRPr="005D0AA6">
        <w:rPr>
          <w:lang w:val="fr-FR"/>
        </w:rPr>
        <w:t>Dans ces circonstances, la Cour conclut que le requérant a renoncé, de manière non équivoque, quoique tacite, à sa faculté de comparaître à l</w:t>
      </w:r>
      <w:r w:rsidR="00300D45">
        <w:rPr>
          <w:lang w:val="fr-FR"/>
        </w:rPr>
        <w:t>’</w:t>
      </w:r>
      <w:r w:rsidRPr="005D0AA6">
        <w:rPr>
          <w:lang w:val="fr-FR"/>
        </w:rPr>
        <w:t xml:space="preserve">audience </w:t>
      </w:r>
      <w:r>
        <w:rPr>
          <w:lang w:val="fr-FR"/>
        </w:rPr>
        <w:t>d</w:t>
      </w:r>
      <w:r w:rsidR="00300D45">
        <w:rPr>
          <w:lang w:val="fr-FR"/>
        </w:rPr>
        <w:t>’</w:t>
      </w:r>
      <w:r>
        <w:rPr>
          <w:lang w:val="fr-FR"/>
        </w:rPr>
        <w:t xml:space="preserve">appel du 17 juin 2011 </w:t>
      </w:r>
      <w:r w:rsidRPr="005D0AA6">
        <w:rPr>
          <w:lang w:val="fr-FR"/>
        </w:rPr>
        <w:t xml:space="preserve">(voir, </w:t>
      </w:r>
      <w:r w:rsidRPr="005D0AA6">
        <w:rPr>
          <w:i/>
          <w:lang w:val="fr-FR"/>
        </w:rPr>
        <w:t>mutatis mutandis</w:t>
      </w:r>
      <w:r w:rsidRPr="005D0AA6">
        <w:rPr>
          <w:lang w:val="fr-FR"/>
        </w:rPr>
        <w:t xml:space="preserve">, </w:t>
      </w:r>
      <w:r w:rsidRPr="005D0AA6">
        <w:rPr>
          <w:i/>
          <w:lang w:val="fr-FR"/>
        </w:rPr>
        <w:t>Craxi c. Italie</w:t>
      </w:r>
      <w:r w:rsidRPr="005D0AA6">
        <w:rPr>
          <w:lang w:val="fr-FR"/>
        </w:rPr>
        <w:t>, n</w:t>
      </w:r>
      <w:r w:rsidRPr="005D0AA6">
        <w:rPr>
          <w:vertAlign w:val="superscript"/>
          <w:lang w:val="fr-FR"/>
        </w:rPr>
        <w:t>o</w:t>
      </w:r>
      <w:r w:rsidRPr="005D0AA6">
        <w:rPr>
          <w:lang w:val="fr-FR"/>
        </w:rPr>
        <w:t xml:space="preserve"> 34896/97, § 70, 5</w:t>
      </w:r>
      <w:r w:rsidR="00900BF8">
        <w:rPr>
          <w:lang w:val="fr-FR"/>
        </w:rPr>
        <w:t xml:space="preserve"> </w:t>
      </w:r>
      <w:r w:rsidRPr="005D0AA6">
        <w:rPr>
          <w:lang w:val="fr-FR"/>
        </w:rPr>
        <w:t>décembre 2002</w:t>
      </w:r>
      <w:r>
        <w:rPr>
          <w:lang w:val="fr-FR"/>
        </w:rPr>
        <w:t xml:space="preserve">, et </w:t>
      </w:r>
      <w:r>
        <w:rPr>
          <w:i/>
          <w:lang w:val="fr-FR"/>
        </w:rPr>
        <w:t>Booker</w:t>
      </w:r>
      <w:r>
        <w:rPr>
          <w:lang w:val="fr-FR"/>
        </w:rPr>
        <w:t xml:space="preserve"> décision précitée</w:t>
      </w:r>
      <w:r w:rsidRPr="005D0AA6">
        <w:rPr>
          <w:lang w:val="fr-FR"/>
        </w:rPr>
        <w:t>).</w:t>
      </w:r>
    </w:p>
    <w:p w:rsidR="00EC5477" w:rsidRPr="00FE5B9D" w:rsidRDefault="00EC5477" w:rsidP="00B56E2E">
      <w:pPr>
        <w:pStyle w:val="ECHRPara"/>
        <w:rPr>
          <w:lang w:val="fr-FR"/>
        </w:rPr>
      </w:pPr>
      <w:r>
        <w:rPr>
          <w:lang w:val="fr-FR"/>
        </w:rPr>
        <w:t>37.  </w:t>
      </w:r>
      <w:r w:rsidRPr="00B21489">
        <w:rPr>
          <w:snapToGrid w:val="0"/>
          <w:lang w:val="fr-FR"/>
        </w:rPr>
        <w:t>Il s</w:t>
      </w:r>
      <w:r w:rsidR="00300D45">
        <w:rPr>
          <w:snapToGrid w:val="0"/>
          <w:lang w:val="fr-FR"/>
        </w:rPr>
        <w:t>’</w:t>
      </w:r>
      <w:r w:rsidRPr="00B21489">
        <w:rPr>
          <w:snapToGrid w:val="0"/>
          <w:lang w:val="fr-FR"/>
        </w:rPr>
        <w:t>ensuit que ce grief est manifestement mal fondé et doit être rejeté en application de l</w:t>
      </w:r>
      <w:r w:rsidR="00300D45">
        <w:rPr>
          <w:snapToGrid w:val="0"/>
          <w:lang w:val="fr-FR"/>
        </w:rPr>
        <w:t>’</w:t>
      </w:r>
      <w:r w:rsidRPr="00B21489">
        <w:rPr>
          <w:snapToGrid w:val="0"/>
          <w:lang w:val="fr-FR"/>
        </w:rPr>
        <w:t>article 35 §§ 3</w:t>
      </w:r>
      <w:r w:rsidR="00900BF8">
        <w:rPr>
          <w:snapToGrid w:val="0"/>
          <w:lang w:val="fr-FR"/>
        </w:rPr>
        <w:t xml:space="preserve"> </w:t>
      </w:r>
      <w:r w:rsidRPr="00B21489">
        <w:rPr>
          <w:lang w:val="fr-FR"/>
        </w:rPr>
        <w:t xml:space="preserve">a) </w:t>
      </w:r>
      <w:r w:rsidRPr="00B21489">
        <w:rPr>
          <w:snapToGrid w:val="0"/>
          <w:lang w:val="fr-FR"/>
        </w:rPr>
        <w:t>et 4 de la Convention.</w:t>
      </w:r>
    </w:p>
    <w:p w:rsidR="00EC5477" w:rsidRDefault="00EC5477" w:rsidP="00B56E2E">
      <w:pPr>
        <w:pStyle w:val="ECHRHeading3"/>
        <w:rPr>
          <w:lang w:val="fr-FR"/>
        </w:rPr>
      </w:pPr>
      <w:r>
        <w:rPr>
          <w:lang w:val="fr-FR"/>
        </w:rPr>
        <w:lastRenderedPageBreak/>
        <w:t>2.  Grief tiré d</w:t>
      </w:r>
      <w:r w:rsidR="00300D45">
        <w:rPr>
          <w:lang w:val="fr-FR"/>
        </w:rPr>
        <w:t>’</w:t>
      </w:r>
      <w:r>
        <w:rPr>
          <w:lang w:val="fr-FR"/>
        </w:rPr>
        <w:t>un manque allégué de fiabilité de l</w:t>
      </w:r>
      <w:r w:rsidR="00300D45">
        <w:rPr>
          <w:lang w:val="fr-FR"/>
        </w:rPr>
        <w:t>’</w:t>
      </w:r>
      <w:r>
        <w:rPr>
          <w:lang w:val="fr-FR"/>
        </w:rPr>
        <w:t>expertise sur l</w:t>
      </w:r>
      <w:r w:rsidR="00300D45">
        <w:rPr>
          <w:lang w:val="fr-FR"/>
        </w:rPr>
        <w:t>’</w:t>
      </w:r>
      <w:r>
        <w:rPr>
          <w:lang w:val="fr-FR"/>
        </w:rPr>
        <w:t>arme</w:t>
      </w:r>
    </w:p>
    <w:p w:rsidR="00C42D13" w:rsidRDefault="00EC5477" w:rsidP="00B56E2E">
      <w:pPr>
        <w:pStyle w:val="ECHRPara"/>
        <w:rPr>
          <w:lang w:val="fr-FR"/>
        </w:rPr>
      </w:pPr>
      <w:r>
        <w:rPr>
          <w:lang w:val="fr-FR"/>
        </w:rPr>
        <w:t>38.  Le requérant observe qu</w:t>
      </w:r>
      <w:r w:rsidR="00300D45">
        <w:rPr>
          <w:lang w:val="fr-FR"/>
        </w:rPr>
        <w:t>’</w:t>
      </w:r>
      <w:r>
        <w:rPr>
          <w:lang w:val="fr-FR"/>
        </w:rPr>
        <w:t>en appel et en cassation, la défense a soulevé des doutes quant au pistolet, qui portaient à la fois sur le modèle de l</w:t>
      </w:r>
      <w:r w:rsidR="00300D45">
        <w:rPr>
          <w:lang w:val="fr-FR"/>
        </w:rPr>
        <w:t>’</w:t>
      </w:r>
      <w:r>
        <w:rPr>
          <w:lang w:val="fr-FR"/>
        </w:rPr>
        <w:t>arme et sur son fonctionnement. Il considère que dans ces circonstances, la Cour de cassation aurait dû annuler sa condamnation et renvoyer le dossier aux juges du fond, les invitant à ordonner une nouvelle expertise sur le pistolet.</w:t>
      </w:r>
    </w:p>
    <w:p w:rsidR="00EC5477" w:rsidRDefault="00EC5477" w:rsidP="00B56E2E">
      <w:pPr>
        <w:pStyle w:val="ECHRPara"/>
        <w:rPr>
          <w:lang w:val="fr-FR"/>
        </w:rPr>
      </w:pPr>
      <w:r>
        <w:rPr>
          <w:lang w:val="fr-FR"/>
        </w:rPr>
        <w:t>39.  La Cour observe que l</w:t>
      </w:r>
      <w:r w:rsidR="00300D45">
        <w:rPr>
          <w:lang w:val="fr-FR"/>
        </w:rPr>
        <w:t>’</w:t>
      </w:r>
      <w:r>
        <w:rPr>
          <w:lang w:val="fr-FR"/>
        </w:rPr>
        <w:t>une des preuves principales à la charge du requérant était le pistolet saisi, trouvé en possession de Y. Or, selon une expertise réalisée par Z, un expert nommé par le parquet, cette arme était celle qui avait tiré sur la voiture de l</w:t>
      </w:r>
      <w:r w:rsidR="00300D45">
        <w:rPr>
          <w:lang w:val="fr-FR"/>
        </w:rPr>
        <w:t>’</w:t>
      </w:r>
      <w:r>
        <w:rPr>
          <w:lang w:val="fr-FR"/>
        </w:rPr>
        <w:t>épouse du juge X (paragraphe 3</w:t>
      </w:r>
      <w:r w:rsidR="00C42D13">
        <w:rPr>
          <w:lang w:val="fr-FR"/>
        </w:rPr>
        <w:t xml:space="preserve"> ci</w:t>
      </w:r>
      <w:r w:rsidR="00C42D13">
        <w:rPr>
          <w:lang w:val="fr-FR"/>
        </w:rPr>
        <w:noBreakHyphen/>
      </w:r>
      <w:r>
        <w:rPr>
          <w:lang w:val="fr-FR"/>
        </w:rPr>
        <w:t>dessus).</w:t>
      </w:r>
    </w:p>
    <w:p w:rsidR="00C42D13" w:rsidRDefault="00EC5477" w:rsidP="00B56E2E">
      <w:pPr>
        <w:pStyle w:val="ECHRPara"/>
        <w:rPr>
          <w:lang w:val="fr-FR"/>
        </w:rPr>
      </w:pPr>
      <w:r>
        <w:rPr>
          <w:lang w:val="fr-FR"/>
        </w:rPr>
        <w:t>40.  Aux yeux de la Cour, s</w:t>
      </w:r>
      <w:r w:rsidR="00300D45">
        <w:rPr>
          <w:lang w:val="fr-FR"/>
        </w:rPr>
        <w:t>’</w:t>
      </w:r>
      <w:r>
        <w:rPr>
          <w:lang w:val="fr-FR"/>
        </w:rPr>
        <w:t>il nourrissait des doutes quant aux conclusions auxquelles Z était parvenu, le requérant aurait dû soit nommer un expert de son choix, le chargeant d</w:t>
      </w:r>
      <w:r w:rsidR="00300D45">
        <w:rPr>
          <w:lang w:val="fr-FR"/>
        </w:rPr>
        <w:t>’</w:t>
      </w:r>
      <w:r>
        <w:rPr>
          <w:lang w:val="fr-FR"/>
        </w:rPr>
        <w:t>effectuer des examens ultérieurs sur le pistolet, soit demander aux juridictions du fond de nommer un expert commis d</w:t>
      </w:r>
      <w:r w:rsidR="00300D45">
        <w:rPr>
          <w:lang w:val="fr-FR"/>
        </w:rPr>
        <w:t>’</w:t>
      </w:r>
      <w:r>
        <w:rPr>
          <w:lang w:val="fr-FR"/>
        </w:rPr>
        <w:t>office. Cependant, comme la Cour de cassation l</w:t>
      </w:r>
      <w:r w:rsidR="00300D45">
        <w:rPr>
          <w:lang w:val="fr-FR"/>
        </w:rPr>
        <w:t>’</w:t>
      </w:r>
      <w:r>
        <w:rPr>
          <w:lang w:val="fr-FR"/>
        </w:rPr>
        <w:t>a souligné à juste titre (paragraphe 17 ci-dessus), l</w:t>
      </w:r>
      <w:r w:rsidR="00300D45">
        <w:rPr>
          <w:lang w:val="fr-FR"/>
        </w:rPr>
        <w:t>’</w:t>
      </w:r>
      <w:r>
        <w:rPr>
          <w:lang w:val="fr-FR"/>
        </w:rPr>
        <w:t>intéressé n</w:t>
      </w:r>
      <w:r w:rsidR="00300D45">
        <w:rPr>
          <w:lang w:val="fr-FR"/>
        </w:rPr>
        <w:t>’</w:t>
      </w:r>
      <w:r>
        <w:rPr>
          <w:lang w:val="fr-FR"/>
        </w:rPr>
        <w:t>a pas agi de la sorte. La Cour rappelle que tout au long de la procédure judiciaire interne, le requérant a été représenté par des conseils de son choix ; dès lors, des éventuelles défaillances dans la ligne de défense de l</w:t>
      </w:r>
      <w:r w:rsidR="00300D45">
        <w:rPr>
          <w:lang w:val="fr-FR"/>
        </w:rPr>
        <w:t>’</w:t>
      </w:r>
      <w:r>
        <w:rPr>
          <w:lang w:val="fr-FR"/>
        </w:rPr>
        <w:t>accusé ne sauraient être mises à la charge des autorités nationales.</w:t>
      </w:r>
    </w:p>
    <w:p w:rsidR="00EC5477" w:rsidRDefault="00EC5477" w:rsidP="00B56E2E">
      <w:pPr>
        <w:pStyle w:val="ECHRPara"/>
        <w:rPr>
          <w:lang w:val="fr-FR"/>
        </w:rPr>
      </w:pPr>
      <w:r>
        <w:rPr>
          <w:lang w:val="fr-FR"/>
        </w:rPr>
        <w:t>41.  </w:t>
      </w:r>
      <w:r>
        <w:rPr>
          <w:rFonts w:cstheme="minorHAnsi"/>
          <w:lang w:val="fr-FR"/>
        </w:rPr>
        <w:t>À</w:t>
      </w:r>
      <w:r>
        <w:rPr>
          <w:lang w:val="fr-FR"/>
        </w:rPr>
        <w:t xml:space="preserve"> titre surabondant, la Cour observe que les juridictions nationales, auxquelles </w:t>
      </w:r>
      <w:r w:rsidRPr="004F02EA">
        <w:rPr>
          <w:lang w:val="fr-FR"/>
        </w:rPr>
        <w:t>revient en principe d</w:t>
      </w:r>
      <w:r w:rsidR="00300D45">
        <w:rPr>
          <w:lang w:val="fr-FR"/>
        </w:rPr>
        <w:t>’</w:t>
      </w:r>
      <w:r w:rsidRPr="004F02EA">
        <w:rPr>
          <w:lang w:val="fr-FR"/>
        </w:rPr>
        <w:t xml:space="preserve">apprécier les éléments rassemblés par elles et la pertinence de ceux dont les </w:t>
      </w:r>
      <w:r>
        <w:rPr>
          <w:lang w:val="fr-FR"/>
        </w:rPr>
        <w:t>accusés</w:t>
      </w:r>
      <w:r w:rsidRPr="004F02EA">
        <w:rPr>
          <w:lang w:val="fr-FR"/>
        </w:rPr>
        <w:t xml:space="preserve"> souhaitent la production (</w:t>
      </w:r>
      <w:r w:rsidRPr="004F02EA">
        <w:rPr>
          <w:i/>
          <w:lang w:val="fr-FR"/>
        </w:rPr>
        <w:t>Barberà, Messegué et Jabardo c.</w:t>
      </w:r>
      <w:r w:rsidR="00900BF8">
        <w:rPr>
          <w:i/>
          <w:lang w:val="fr-FR"/>
        </w:rPr>
        <w:t xml:space="preserve"> </w:t>
      </w:r>
      <w:r w:rsidRPr="004F02EA">
        <w:rPr>
          <w:i/>
          <w:lang w:val="fr-FR"/>
        </w:rPr>
        <w:t>Espagne</w:t>
      </w:r>
      <w:r w:rsidRPr="004F02EA">
        <w:rPr>
          <w:lang w:val="fr-FR"/>
        </w:rPr>
        <w:t xml:space="preserve">, 6 décembre 1988, </w:t>
      </w:r>
      <w:r>
        <w:rPr>
          <w:lang w:val="fr-FR"/>
        </w:rPr>
        <w:t xml:space="preserve">§ 68, </w:t>
      </w:r>
      <w:r w:rsidRPr="004F02EA">
        <w:rPr>
          <w:lang w:val="fr-FR"/>
        </w:rPr>
        <w:t>série A n</w:t>
      </w:r>
      <w:r w:rsidRPr="004F02EA">
        <w:rPr>
          <w:vertAlign w:val="superscript"/>
          <w:lang w:val="fr-FR"/>
        </w:rPr>
        <w:t>o</w:t>
      </w:r>
      <w:r w:rsidRPr="004F02EA">
        <w:rPr>
          <w:lang w:val="fr-FR"/>
        </w:rPr>
        <w:t> 146)</w:t>
      </w:r>
      <w:r>
        <w:rPr>
          <w:lang w:val="fr-FR"/>
        </w:rPr>
        <w:t xml:space="preserve"> ont estimé que les conclusions de Z étaient logiques, correctes et corroborées par d</w:t>
      </w:r>
      <w:r w:rsidR="00300D45">
        <w:rPr>
          <w:lang w:val="fr-FR"/>
        </w:rPr>
        <w:t>’</w:t>
      </w:r>
      <w:r>
        <w:rPr>
          <w:lang w:val="fr-FR"/>
        </w:rPr>
        <w:t>autres éléments. Dès lors, il leur était loisible de considérer qu</w:t>
      </w:r>
      <w:r w:rsidR="00300D45">
        <w:rPr>
          <w:lang w:val="fr-FR"/>
        </w:rPr>
        <w:t>’</w:t>
      </w:r>
      <w:r>
        <w:rPr>
          <w:lang w:val="fr-FR"/>
        </w:rPr>
        <w:t>il ne s</w:t>
      </w:r>
      <w:r w:rsidR="00300D45">
        <w:rPr>
          <w:lang w:val="fr-FR"/>
        </w:rPr>
        <w:t>’</w:t>
      </w:r>
      <w:r>
        <w:rPr>
          <w:lang w:val="fr-FR"/>
        </w:rPr>
        <w:t>imposait pas de convoquer Z à l</w:t>
      </w:r>
      <w:r w:rsidR="00300D45">
        <w:rPr>
          <w:lang w:val="fr-FR"/>
        </w:rPr>
        <w:t>’</w:t>
      </w:r>
      <w:r>
        <w:rPr>
          <w:lang w:val="fr-FR"/>
        </w:rPr>
        <w:t>audience ou de nommer d</w:t>
      </w:r>
      <w:r w:rsidR="00300D45">
        <w:rPr>
          <w:lang w:val="fr-FR"/>
        </w:rPr>
        <w:t>’</w:t>
      </w:r>
      <w:r>
        <w:rPr>
          <w:lang w:val="fr-FR"/>
        </w:rPr>
        <w:t xml:space="preserve">office un autre expert (voir, par exemple et </w:t>
      </w:r>
      <w:r>
        <w:rPr>
          <w:i/>
          <w:lang w:val="fr-FR"/>
        </w:rPr>
        <w:t>mutatis mutandis</w:t>
      </w:r>
      <w:r>
        <w:rPr>
          <w:lang w:val="fr-FR"/>
        </w:rPr>
        <w:t xml:space="preserve">, </w:t>
      </w:r>
      <w:r>
        <w:rPr>
          <w:i/>
          <w:lang w:val="fr-FR"/>
        </w:rPr>
        <w:t xml:space="preserve">Hany c. Italie </w:t>
      </w:r>
      <w:r>
        <w:rPr>
          <w:lang w:val="fr-FR"/>
        </w:rPr>
        <w:t>(déc.), n</w:t>
      </w:r>
      <w:r w:rsidRPr="00EC5477">
        <w:rPr>
          <w:vertAlign w:val="superscript"/>
          <w:lang w:val="fr-FR"/>
        </w:rPr>
        <w:t>o</w:t>
      </w:r>
      <w:r>
        <w:rPr>
          <w:lang w:val="fr-FR"/>
        </w:rPr>
        <w:t xml:space="preserve"> </w:t>
      </w:r>
      <w:r w:rsidRPr="004F02EA">
        <w:rPr>
          <w:lang w:val="fr-FR"/>
        </w:rPr>
        <w:t>17543/05</w:t>
      </w:r>
      <w:r>
        <w:rPr>
          <w:lang w:val="fr-FR"/>
        </w:rPr>
        <w:t>, 18 janvier 2007).</w:t>
      </w:r>
    </w:p>
    <w:p w:rsidR="00EC5477" w:rsidRDefault="00EC5477" w:rsidP="00B56E2E">
      <w:pPr>
        <w:pStyle w:val="ECHRPara"/>
        <w:rPr>
          <w:lang w:val="fr-FR"/>
        </w:rPr>
      </w:pPr>
      <w:r>
        <w:rPr>
          <w:snapToGrid w:val="0"/>
          <w:lang w:val="fr-FR"/>
        </w:rPr>
        <w:t>42.  </w:t>
      </w:r>
      <w:r w:rsidRPr="00C644C7">
        <w:rPr>
          <w:snapToGrid w:val="0"/>
          <w:lang w:val="fr-FR"/>
        </w:rPr>
        <w:t>Il s</w:t>
      </w:r>
      <w:r w:rsidR="00300D45">
        <w:rPr>
          <w:snapToGrid w:val="0"/>
          <w:lang w:val="fr-FR"/>
        </w:rPr>
        <w:t>’</w:t>
      </w:r>
      <w:r w:rsidRPr="00C644C7">
        <w:rPr>
          <w:snapToGrid w:val="0"/>
          <w:lang w:val="fr-FR"/>
        </w:rPr>
        <w:t>ensuit que ce grief est manifestement mal fondé et doit être rejeté en application de l</w:t>
      </w:r>
      <w:r w:rsidR="00300D45">
        <w:rPr>
          <w:snapToGrid w:val="0"/>
          <w:lang w:val="fr-FR"/>
        </w:rPr>
        <w:t>’</w:t>
      </w:r>
      <w:r w:rsidRPr="00C644C7">
        <w:rPr>
          <w:snapToGrid w:val="0"/>
          <w:lang w:val="fr-FR"/>
        </w:rPr>
        <w:t>article 35 §§ 3 </w:t>
      </w:r>
      <w:r w:rsidRPr="00C644C7">
        <w:rPr>
          <w:lang w:val="fr-FR"/>
        </w:rPr>
        <w:t xml:space="preserve">a) </w:t>
      </w:r>
      <w:r w:rsidRPr="00C644C7">
        <w:rPr>
          <w:snapToGrid w:val="0"/>
          <w:lang w:val="fr-FR"/>
        </w:rPr>
        <w:t>et 4 de la Convention.</w:t>
      </w:r>
    </w:p>
    <w:p w:rsidR="00EC5477" w:rsidRDefault="00EC5477" w:rsidP="00B56E2E">
      <w:pPr>
        <w:pStyle w:val="ECHRHeading3"/>
        <w:rPr>
          <w:lang w:val="fr-FR"/>
        </w:rPr>
      </w:pPr>
      <w:r>
        <w:rPr>
          <w:lang w:val="fr-FR"/>
        </w:rPr>
        <w:t>3.  Grief tiré d</w:t>
      </w:r>
      <w:r w:rsidR="00300D45">
        <w:rPr>
          <w:lang w:val="fr-FR"/>
        </w:rPr>
        <w:t>’</w:t>
      </w:r>
      <w:r>
        <w:rPr>
          <w:lang w:val="fr-FR"/>
        </w:rPr>
        <w:t>un manque de motivation des décisions judiciaires</w:t>
      </w:r>
    </w:p>
    <w:p w:rsidR="00EC5477" w:rsidRDefault="00EC5477" w:rsidP="00B56E2E">
      <w:pPr>
        <w:pStyle w:val="ECHRPara"/>
        <w:rPr>
          <w:lang w:val="fr-FR"/>
        </w:rPr>
      </w:pPr>
      <w:r>
        <w:rPr>
          <w:lang w:val="fr-FR"/>
        </w:rPr>
        <w:t>43.  Le requérant observe que la Cour de cassation a estimé que l</w:t>
      </w:r>
      <w:r w:rsidR="00300D45">
        <w:rPr>
          <w:lang w:val="fr-FR"/>
        </w:rPr>
        <w:t>’</w:t>
      </w:r>
      <w:r>
        <w:rPr>
          <w:lang w:val="fr-FR"/>
        </w:rPr>
        <w:t>arrêt d</w:t>
      </w:r>
      <w:r w:rsidR="00300D45">
        <w:rPr>
          <w:lang w:val="fr-FR"/>
        </w:rPr>
        <w:t>’</w:t>
      </w:r>
      <w:r>
        <w:rPr>
          <w:lang w:val="fr-FR"/>
        </w:rPr>
        <w:t>appel devait être lu en conjonction avec le jugement de première instance (paragraphe 15 ci-dessus). Il considère que ceci a violé le devoir des juridictions nationales de motiver leurs décisions.</w:t>
      </w:r>
    </w:p>
    <w:p w:rsidR="00EC5477" w:rsidRDefault="00EC5477" w:rsidP="00B56E2E">
      <w:pPr>
        <w:pStyle w:val="ECHRPara"/>
        <w:rPr>
          <w:lang w:val="fr-FR"/>
        </w:rPr>
      </w:pPr>
      <w:r>
        <w:rPr>
          <w:lang w:val="fr-FR"/>
        </w:rPr>
        <w:t>44.  </w:t>
      </w:r>
      <w:r w:rsidRPr="00B53E7F">
        <w:rPr>
          <w:lang w:val="fr-FR"/>
        </w:rPr>
        <w:t xml:space="preserve">La Cour </w:t>
      </w:r>
      <w:r>
        <w:rPr>
          <w:lang w:val="fr-FR"/>
        </w:rPr>
        <w:t>s</w:t>
      </w:r>
      <w:r w:rsidRPr="00B53E7F">
        <w:rPr>
          <w:lang w:val="fr-FR"/>
        </w:rPr>
        <w:t>e</w:t>
      </w:r>
      <w:r>
        <w:rPr>
          <w:lang w:val="fr-FR"/>
        </w:rPr>
        <w:t xml:space="preserve"> réfère à</w:t>
      </w:r>
      <w:r w:rsidRPr="00B53E7F">
        <w:rPr>
          <w:lang w:val="fr-FR"/>
        </w:rPr>
        <w:t xml:space="preserve"> </w:t>
      </w:r>
      <w:r>
        <w:rPr>
          <w:lang w:val="fr-FR"/>
        </w:rPr>
        <w:t>sa jurisprudence énoncée au paragraphe 28 ci</w:t>
      </w:r>
      <w:r w:rsidR="00900BF8">
        <w:rPr>
          <w:lang w:val="fr-FR"/>
        </w:rPr>
        <w:noBreakHyphen/>
      </w:r>
      <w:r>
        <w:rPr>
          <w:lang w:val="fr-FR"/>
        </w:rPr>
        <w:t xml:space="preserve">dessus quant aux limites de sa compétence </w:t>
      </w:r>
      <w:r w:rsidRPr="00B53E7F">
        <w:rPr>
          <w:lang w:val="fr-FR"/>
        </w:rPr>
        <w:t>(</w:t>
      </w:r>
      <w:r>
        <w:rPr>
          <w:lang w:val="fr-FR"/>
        </w:rPr>
        <w:t xml:space="preserve">voir, également, </w:t>
      </w:r>
      <w:r w:rsidRPr="00B53E7F">
        <w:rPr>
          <w:i/>
          <w:lang w:val="fr-FR"/>
        </w:rPr>
        <w:t>S.C. IMH Suceava S.R.L. c. Ro</w:t>
      </w:r>
      <w:r>
        <w:rPr>
          <w:i/>
          <w:lang w:val="fr-FR"/>
        </w:rPr>
        <w:t>u</w:t>
      </w:r>
      <w:r w:rsidRPr="00B53E7F">
        <w:rPr>
          <w:i/>
          <w:lang w:val="fr-FR"/>
        </w:rPr>
        <w:t>mani</w:t>
      </w:r>
      <w:r>
        <w:rPr>
          <w:i/>
          <w:lang w:val="fr-FR"/>
        </w:rPr>
        <w:t>e</w:t>
      </w:r>
      <w:r w:rsidRPr="00B53E7F">
        <w:rPr>
          <w:lang w:val="fr-FR"/>
        </w:rPr>
        <w:t>, n</w:t>
      </w:r>
      <w:r w:rsidRPr="00EC5477">
        <w:rPr>
          <w:vertAlign w:val="superscript"/>
          <w:lang w:val="fr-FR"/>
        </w:rPr>
        <w:t>o</w:t>
      </w:r>
      <w:r w:rsidR="00900BF8">
        <w:rPr>
          <w:lang w:val="fr-FR"/>
        </w:rPr>
        <w:t xml:space="preserve"> </w:t>
      </w:r>
      <w:r w:rsidRPr="00B53E7F">
        <w:rPr>
          <w:lang w:val="fr-FR"/>
        </w:rPr>
        <w:t>24935/04</w:t>
      </w:r>
      <w:r>
        <w:rPr>
          <w:lang w:val="fr-FR"/>
        </w:rPr>
        <w:t xml:space="preserve">, § 31, </w:t>
      </w:r>
      <w:r w:rsidRPr="00B53E7F">
        <w:rPr>
          <w:lang w:val="fr-FR"/>
        </w:rPr>
        <w:t>29</w:t>
      </w:r>
      <w:r w:rsidR="00900BF8">
        <w:rPr>
          <w:lang w:val="fr-FR"/>
        </w:rPr>
        <w:t xml:space="preserve"> </w:t>
      </w:r>
      <w:r w:rsidRPr="00B53E7F">
        <w:rPr>
          <w:lang w:val="fr-FR"/>
        </w:rPr>
        <w:t>o</w:t>
      </w:r>
      <w:r>
        <w:rPr>
          <w:lang w:val="fr-FR"/>
        </w:rPr>
        <w:t>c</w:t>
      </w:r>
      <w:r w:rsidRPr="00B53E7F">
        <w:rPr>
          <w:lang w:val="fr-FR"/>
        </w:rPr>
        <w:t>tobre 2013</w:t>
      </w:r>
      <w:r>
        <w:rPr>
          <w:lang w:val="fr-FR"/>
        </w:rPr>
        <w:t>). Elle ajoute avoir affirmé,</w:t>
      </w:r>
      <w:r w:rsidRPr="00B53E7F">
        <w:rPr>
          <w:lang w:val="fr-FR"/>
        </w:rPr>
        <w:t xml:space="preserve"> reflétant un principe lié à la bonne administration de la </w:t>
      </w:r>
      <w:r w:rsidRPr="00B53E7F">
        <w:rPr>
          <w:lang w:val="fr-FR"/>
        </w:rPr>
        <w:lastRenderedPageBreak/>
        <w:t xml:space="preserve">justice, </w:t>
      </w:r>
      <w:r>
        <w:rPr>
          <w:lang w:val="fr-FR"/>
        </w:rPr>
        <w:t xml:space="preserve">que </w:t>
      </w:r>
      <w:r w:rsidRPr="00B53E7F">
        <w:rPr>
          <w:lang w:val="fr-FR"/>
        </w:rPr>
        <w:t>les décisions judiciaires doivent indiquer de manière suffisante les motifs sur lesquels elles se fondent. L</w:t>
      </w:r>
      <w:r w:rsidR="00300D45">
        <w:rPr>
          <w:lang w:val="fr-FR"/>
        </w:rPr>
        <w:t>’</w:t>
      </w:r>
      <w:r w:rsidRPr="00B53E7F">
        <w:rPr>
          <w:lang w:val="fr-FR"/>
        </w:rPr>
        <w:t>étendue de ce devoir peut varier selon la nature de la décision et doit s</w:t>
      </w:r>
      <w:r w:rsidR="00300D45">
        <w:rPr>
          <w:lang w:val="fr-FR"/>
        </w:rPr>
        <w:t>’</w:t>
      </w:r>
      <w:r w:rsidRPr="00B53E7F">
        <w:rPr>
          <w:lang w:val="fr-FR"/>
        </w:rPr>
        <w:t>analyser à la lumière des circonstances de chaque espèce (</w:t>
      </w:r>
      <w:r w:rsidRPr="00B53E7F">
        <w:rPr>
          <w:i/>
          <w:lang w:val="fr-FR"/>
        </w:rPr>
        <w:t>Ruiz Torija c. Espagne</w:t>
      </w:r>
      <w:r>
        <w:rPr>
          <w:lang w:val="fr-FR"/>
        </w:rPr>
        <w:t>,</w:t>
      </w:r>
      <w:r w:rsidRPr="00B53E7F">
        <w:rPr>
          <w:lang w:val="fr-FR"/>
        </w:rPr>
        <w:t xml:space="preserve"> 9 décembre 1994, </w:t>
      </w:r>
      <w:r>
        <w:rPr>
          <w:lang w:val="fr-FR"/>
        </w:rPr>
        <w:t xml:space="preserve">§ 29, </w:t>
      </w:r>
      <w:r w:rsidRPr="00B53E7F">
        <w:rPr>
          <w:lang w:val="fr-FR"/>
        </w:rPr>
        <w:t>série A n</w:t>
      </w:r>
      <w:r w:rsidRPr="00EC5477">
        <w:rPr>
          <w:vertAlign w:val="superscript"/>
          <w:lang w:val="fr-FR"/>
        </w:rPr>
        <w:t>o</w:t>
      </w:r>
      <w:r w:rsidRPr="00B53E7F">
        <w:rPr>
          <w:lang w:val="fr-FR"/>
        </w:rPr>
        <w:t xml:space="preserve"> 303-A, et </w:t>
      </w:r>
      <w:r w:rsidRPr="00B53E7F">
        <w:rPr>
          <w:i/>
          <w:lang w:val="fr-FR"/>
        </w:rPr>
        <w:t>Higgins et autres c.</w:t>
      </w:r>
      <w:r>
        <w:rPr>
          <w:i/>
          <w:lang w:val="fr-FR"/>
        </w:rPr>
        <w:t> </w:t>
      </w:r>
      <w:r w:rsidRPr="00B53E7F">
        <w:rPr>
          <w:i/>
          <w:lang w:val="fr-FR"/>
        </w:rPr>
        <w:t>France</w:t>
      </w:r>
      <w:r>
        <w:rPr>
          <w:lang w:val="fr-FR"/>
        </w:rPr>
        <w:t>,</w:t>
      </w:r>
      <w:r w:rsidRPr="00B53E7F">
        <w:rPr>
          <w:lang w:val="fr-FR"/>
        </w:rPr>
        <w:t xml:space="preserve"> 19 février 1998, </w:t>
      </w:r>
      <w:r>
        <w:rPr>
          <w:lang w:val="fr-FR"/>
        </w:rPr>
        <w:t xml:space="preserve">§ 42, </w:t>
      </w:r>
      <w:r w:rsidRPr="00B53E7F">
        <w:rPr>
          <w:i/>
          <w:lang w:val="fr-FR"/>
        </w:rPr>
        <w:t xml:space="preserve">Recueil </w:t>
      </w:r>
      <w:r w:rsidRPr="00B53E7F">
        <w:rPr>
          <w:lang w:val="fr-FR"/>
        </w:rPr>
        <w:t>1998-I). Si l</w:t>
      </w:r>
      <w:r w:rsidR="00300D45">
        <w:rPr>
          <w:lang w:val="fr-FR"/>
        </w:rPr>
        <w:t>’</w:t>
      </w:r>
      <w:r w:rsidRPr="00B53E7F">
        <w:rPr>
          <w:lang w:val="fr-FR"/>
        </w:rPr>
        <w:t>article 6 § 1 oblige les tribunaux à motiver leurs décisions, cette obligation ne peut se comprendre comme exigeant une réponse détaillée à chaque argument (</w:t>
      </w:r>
      <w:r w:rsidRPr="00B53E7F">
        <w:rPr>
          <w:i/>
          <w:lang w:val="fr-FR"/>
        </w:rPr>
        <w:t>Van de Hurk c.</w:t>
      </w:r>
      <w:r w:rsidR="00F17731">
        <w:rPr>
          <w:i/>
          <w:lang w:val="fr-FR"/>
        </w:rPr>
        <w:t xml:space="preserve"> </w:t>
      </w:r>
      <w:r w:rsidRPr="00B53E7F">
        <w:rPr>
          <w:i/>
          <w:lang w:val="fr-FR"/>
        </w:rPr>
        <w:t>Pays-Bas</w:t>
      </w:r>
      <w:r>
        <w:rPr>
          <w:lang w:val="fr-FR"/>
        </w:rPr>
        <w:t>,</w:t>
      </w:r>
      <w:r w:rsidRPr="00B53E7F">
        <w:rPr>
          <w:lang w:val="fr-FR"/>
        </w:rPr>
        <w:t xml:space="preserve"> 19 avril 1994, </w:t>
      </w:r>
      <w:r>
        <w:rPr>
          <w:lang w:val="fr-FR"/>
        </w:rPr>
        <w:t xml:space="preserve">§ 61, </w:t>
      </w:r>
      <w:r w:rsidRPr="00B53E7F">
        <w:rPr>
          <w:lang w:val="fr-FR"/>
        </w:rPr>
        <w:t>série A n</w:t>
      </w:r>
      <w:r w:rsidRPr="00EC5477">
        <w:rPr>
          <w:vertAlign w:val="superscript"/>
          <w:lang w:val="fr-FR"/>
        </w:rPr>
        <w:t>o</w:t>
      </w:r>
      <w:r w:rsidRPr="00B53E7F">
        <w:rPr>
          <w:lang w:val="fr-FR"/>
        </w:rPr>
        <w:t xml:space="preserve"> 288). Ainsi, en rejetant un recours, la juridiction d</w:t>
      </w:r>
      <w:r w:rsidR="00300D45">
        <w:rPr>
          <w:lang w:val="fr-FR"/>
        </w:rPr>
        <w:t>’</w:t>
      </w:r>
      <w:r w:rsidRPr="00B53E7F">
        <w:rPr>
          <w:lang w:val="fr-FR"/>
        </w:rPr>
        <w:t>appel peut, en principe, se borner à faire siens les motifs de la décision entreprise (</w:t>
      </w:r>
      <w:r w:rsidRPr="00B53E7F">
        <w:rPr>
          <w:i/>
          <w:lang w:val="fr-FR"/>
        </w:rPr>
        <w:t>García Ruiz</w:t>
      </w:r>
      <w:r w:rsidRPr="00B53E7F">
        <w:rPr>
          <w:lang w:val="fr-FR"/>
        </w:rPr>
        <w:t xml:space="preserve">, </w:t>
      </w:r>
      <w:r>
        <w:rPr>
          <w:lang w:val="fr-FR"/>
        </w:rPr>
        <w:t xml:space="preserve">précité, </w:t>
      </w:r>
      <w:r w:rsidRPr="00B53E7F">
        <w:rPr>
          <w:lang w:val="fr-FR"/>
        </w:rPr>
        <w:t>§ 26)</w:t>
      </w:r>
      <w:r>
        <w:rPr>
          <w:lang w:val="fr-FR"/>
        </w:rPr>
        <w:t>.</w:t>
      </w:r>
    </w:p>
    <w:p w:rsidR="00EC5477" w:rsidRDefault="00EC5477" w:rsidP="00B56E2E">
      <w:pPr>
        <w:pStyle w:val="ECHRPara"/>
        <w:rPr>
          <w:lang w:val="fr-FR"/>
        </w:rPr>
      </w:pPr>
      <w:r>
        <w:rPr>
          <w:lang w:val="fr-FR"/>
        </w:rPr>
        <w:t>45.  En l</w:t>
      </w:r>
      <w:r w:rsidR="00300D45">
        <w:rPr>
          <w:lang w:val="fr-FR"/>
        </w:rPr>
        <w:t>’</w:t>
      </w:r>
      <w:r>
        <w:rPr>
          <w:lang w:val="fr-FR"/>
        </w:rPr>
        <w:t>espèce, le tribunal et la cour d</w:t>
      </w:r>
      <w:r w:rsidR="00300D45">
        <w:rPr>
          <w:lang w:val="fr-FR"/>
        </w:rPr>
        <w:t>’</w:t>
      </w:r>
      <w:r>
        <w:rPr>
          <w:lang w:val="fr-FR"/>
        </w:rPr>
        <w:t>appel de Pérouse ont amplement indiqué, dans la motivation de leurs décisions, les éléments à la charge du requérant, les raisons pour lesquelles ces éléments étaient suffisants pour prouver la culpabilité du prévenu au-delà de tout doute raisonnable et les motifs qui ont amené les juges nationaux à écarter les arguments de la défense. Dans ces circonstances, la Cour ne saurait déceler aucune apparence de violation du droit du requérant à une motivation suffisante de sa condamnation. Par ailleurs, elle ne voit pas en quoi le fait que la Cour de cassation ait estimé que les décisions de première et deuxième instance devaient être lues conjointement pourrait changer cette conclusion.</w:t>
      </w:r>
    </w:p>
    <w:p w:rsidR="00EC5477" w:rsidRDefault="00EC5477" w:rsidP="00B56E2E">
      <w:pPr>
        <w:pStyle w:val="ECHRPara"/>
        <w:rPr>
          <w:lang w:val="fr-FR"/>
        </w:rPr>
      </w:pPr>
      <w:r>
        <w:rPr>
          <w:lang w:val="fr-FR"/>
        </w:rPr>
        <w:t>46.  </w:t>
      </w:r>
      <w:r w:rsidRPr="00FC30B3">
        <w:rPr>
          <w:snapToGrid w:val="0"/>
          <w:lang w:val="fr-FR"/>
        </w:rPr>
        <w:t>Il s</w:t>
      </w:r>
      <w:r w:rsidR="00300D45">
        <w:rPr>
          <w:snapToGrid w:val="0"/>
          <w:lang w:val="fr-FR"/>
        </w:rPr>
        <w:t>’</w:t>
      </w:r>
      <w:r w:rsidRPr="00FC30B3">
        <w:rPr>
          <w:snapToGrid w:val="0"/>
          <w:lang w:val="fr-FR"/>
        </w:rPr>
        <w:t>ensuit que ce grief est manifestement mal fondé et doit être rejeté en application de l</w:t>
      </w:r>
      <w:r w:rsidR="00300D45">
        <w:rPr>
          <w:snapToGrid w:val="0"/>
          <w:lang w:val="fr-FR"/>
        </w:rPr>
        <w:t>’</w:t>
      </w:r>
      <w:r w:rsidRPr="00FC30B3">
        <w:rPr>
          <w:snapToGrid w:val="0"/>
          <w:lang w:val="fr-FR"/>
        </w:rPr>
        <w:t>article 35 §§ 3</w:t>
      </w:r>
      <w:r w:rsidR="00F17731">
        <w:rPr>
          <w:snapToGrid w:val="0"/>
          <w:lang w:val="fr-FR"/>
        </w:rPr>
        <w:t xml:space="preserve"> </w:t>
      </w:r>
      <w:r w:rsidRPr="00FC30B3">
        <w:rPr>
          <w:lang w:val="fr-FR"/>
        </w:rPr>
        <w:t xml:space="preserve">a) </w:t>
      </w:r>
      <w:r w:rsidRPr="00FC30B3">
        <w:rPr>
          <w:snapToGrid w:val="0"/>
          <w:lang w:val="fr-FR"/>
        </w:rPr>
        <w:t>et 4 de la Convention.</w:t>
      </w:r>
    </w:p>
    <w:p w:rsidR="00EC5477" w:rsidRDefault="00EC5477" w:rsidP="00B56E2E">
      <w:pPr>
        <w:pStyle w:val="ECHRHeading3"/>
        <w:rPr>
          <w:lang w:val="fr-FR"/>
        </w:rPr>
      </w:pPr>
      <w:r>
        <w:rPr>
          <w:lang w:val="fr-FR"/>
        </w:rPr>
        <w:t>4.  Conclusion</w:t>
      </w:r>
    </w:p>
    <w:p w:rsidR="00EC5477" w:rsidRDefault="00EC5477" w:rsidP="00B56E2E">
      <w:pPr>
        <w:pStyle w:val="JuParaSub"/>
        <w:ind w:left="0"/>
        <w:rPr>
          <w:lang w:val="fr-FR"/>
        </w:rPr>
      </w:pPr>
      <w:r>
        <w:rPr>
          <w:lang w:val="fr-FR"/>
        </w:rPr>
        <w:t>47.  La Cour a examiné les différentes allégations du requérant portant sur un manque allégué d</w:t>
      </w:r>
      <w:r w:rsidR="00300D45">
        <w:rPr>
          <w:lang w:val="fr-FR"/>
        </w:rPr>
        <w:t>’</w:t>
      </w:r>
      <w:r>
        <w:rPr>
          <w:lang w:val="fr-FR"/>
        </w:rPr>
        <w:t>équité de son procès sans trouver aucune apparence de violation des droits garantis par l</w:t>
      </w:r>
      <w:r w:rsidR="00300D45">
        <w:rPr>
          <w:lang w:val="fr-FR"/>
        </w:rPr>
        <w:t>’</w:t>
      </w:r>
      <w:r>
        <w:rPr>
          <w:lang w:val="fr-FR"/>
        </w:rPr>
        <w:t>article 6 de la Convention. Elle ne peut donc que parvenir à la conclusion que, considérée dans son ensemble, la procédure pénale en cause a été équitable.</w:t>
      </w:r>
    </w:p>
    <w:p w:rsidR="00EC5477" w:rsidRDefault="00EC5477" w:rsidP="00B56E2E">
      <w:pPr>
        <w:pStyle w:val="ECHRPara"/>
        <w:rPr>
          <w:snapToGrid w:val="0"/>
          <w:lang w:val="fr-FR"/>
        </w:rPr>
      </w:pPr>
      <w:r>
        <w:rPr>
          <w:snapToGrid w:val="0"/>
          <w:lang w:val="fr-FR"/>
        </w:rPr>
        <w:t>48.  </w:t>
      </w:r>
      <w:r w:rsidRPr="00717563">
        <w:rPr>
          <w:snapToGrid w:val="0"/>
          <w:lang w:val="fr-FR"/>
        </w:rPr>
        <w:t>Il s</w:t>
      </w:r>
      <w:r w:rsidR="00300D45">
        <w:rPr>
          <w:snapToGrid w:val="0"/>
          <w:lang w:val="fr-FR"/>
        </w:rPr>
        <w:t>’</w:t>
      </w:r>
      <w:r w:rsidRPr="00717563">
        <w:rPr>
          <w:snapToGrid w:val="0"/>
          <w:lang w:val="fr-FR"/>
        </w:rPr>
        <w:t xml:space="preserve">ensuit que </w:t>
      </w:r>
      <w:r>
        <w:rPr>
          <w:snapToGrid w:val="0"/>
          <w:lang w:val="fr-FR"/>
        </w:rPr>
        <w:t>tous les</w:t>
      </w:r>
      <w:r w:rsidRPr="00717563">
        <w:rPr>
          <w:snapToGrid w:val="0"/>
          <w:lang w:val="fr-FR"/>
        </w:rPr>
        <w:t xml:space="preserve"> grief</w:t>
      </w:r>
      <w:r>
        <w:rPr>
          <w:snapToGrid w:val="0"/>
          <w:lang w:val="fr-FR"/>
        </w:rPr>
        <w:t>s tirés de l</w:t>
      </w:r>
      <w:r w:rsidR="00300D45">
        <w:rPr>
          <w:snapToGrid w:val="0"/>
          <w:lang w:val="fr-FR"/>
        </w:rPr>
        <w:t>’</w:t>
      </w:r>
      <w:r>
        <w:rPr>
          <w:snapToGrid w:val="0"/>
          <w:lang w:val="fr-FR"/>
        </w:rPr>
        <w:t>article 6 de la Convention</w:t>
      </w:r>
      <w:r w:rsidRPr="00717563">
        <w:rPr>
          <w:snapToGrid w:val="0"/>
          <w:lang w:val="fr-FR"/>
        </w:rPr>
        <w:t xml:space="preserve"> </w:t>
      </w:r>
      <w:r>
        <w:rPr>
          <w:snapToGrid w:val="0"/>
          <w:lang w:val="fr-FR"/>
        </w:rPr>
        <w:t>sont</w:t>
      </w:r>
      <w:r w:rsidRPr="00717563">
        <w:rPr>
          <w:snapToGrid w:val="0"/>
          <w:lang w:val="fr-FR"/>
        </w:rPr>
        <w:t xml:space="preserve"> manifestement mal fondé</w:t>
      </w:r>
      <w:r>
        <w:rPr>
          <w:snapToGrid w:val="0"/>
          <w:lang w:val="fr-FR"/>
        </w:rPr>
        <w:t>s</w:t>
      </w:r>
      <w:r w:rsidRPr="00717563">
        <w:rPr>
          <w:snapToGrid w:val="0"/>
          <w:lang w:val="fr-FR"/>
        </w:rPr>
        <w:t xml:space="preserve"> et </w:t>
      </w:r>
      <w:r>
        <w:rPr>
          <w:snapToGrid w:val="0"/>
          <w:lang w:val="fr-FR"/>
        </w:rPr>
        <w:t>qu</w:t>
      </w:r>
      <w:r w:rsidR="00300D45">
        <w:rPr>
          <w:snapToGrid w:val="0"/>
          <w:lang w:val="fr-FR"/>
        </w:rPr>
        <w:t>’</w:t>
      </w:r>
      <w:r>
        <w:rPr>
          <w:snapToGrid w:val="0"/>
          <w:lang w:val="fr-FR"/>
        </w:rPr>
        <w:t xml:space="preserve">ils </w:t>
      </w:r>
      <w:r w:rsidRPr="00717563">
        <w:rPr>
          <w:snapToGrid w:val="0"/>
          <w:lang w:val="fr-FR"/>
        </w:rPr>
        <w:t>doi</w:t>
      </w:r>
      <w:r>
        <w:rPr>
          <w:snapToGrid w:val="0"/>
          <w:lang w:val="fr-FR"/>
        </w:rPr>
        <w:t>vent</w:t>
      </w:r>
      <w:r w:rsidRPr="00717563">
        <w:rPr>
          <w:snapToGrid w:val="0"/>
          <w:lang w:val="fr-FR"/>
        </w:rPr>
        <w:t xml:space="preserve"> être rejeté</w:t>
      </w:r>
      <w:r>
        <w:rPr>
          <w:snapToGrid w:val="0"/>
          <w:lang w:val="fr-FR"/>
        </w:rPr>
        <w:t>s,</w:t>
      </w:r>
      <w:r w:rsidRPr="00717563">
        <w:rPr>
          <w:snapToGrid w:val="0"/>
          <w:lang w:val="fr-FR"/>
        </w:rPr>
        <w:t xml:space="preserve"> en application de l</w:t>
      </w:r>
      <w:r w:rsidR="00300D45">
        <w:rPr>
          <w:snapToGrid w:val="0"/>
          <w:lang w:val="fr-FR"/>
        </w:rPr>
        <w:t>’</w:t>
      </w:r>
      <w:r w:rsidRPr="00717563">
        <w:rPr>
          <w:snapToGrid w:val="0"/>
          <w:lang w:val="fr-FR"/>
        </w:rPr>
        <w:t>article</w:t>
      </w:r>
      <w:r>
        <w:rPr>
          <w:snapToGrid w:val="0"/>
          <w:lang w:val="fr-FR"/>
        </w:rPr>
        <w:t> </w:t>
      </w:r>
      <w:r w:rsidRPr="00717563">
        <w:rPr>
          <w:snapToGrid w:val="0"/>
          <w:lang w:val="fr-FR"/>
        </w:rPr>
        <w:t>35 §§ 3</w:t>
      </w:r>
      <w:r w:rsidR="00F17731">
        <w:rPr>
          <w:snapToGrid w:val="0"/>
          <w:lang w:val="fr-FR"/>
        </w:rPr>
        <w:t xml:space="preserve"> </w:t>
      </w:r>
      <w:r w:rsidRPr="00717563">
        <w:rPr>
          <w:lang w:val="fr-FR"/>
        </w:rPr>
        <w:t xml:space="preserve">a) </w:t>
      </w:r>
      <w:r w:rsidRPr="00717563">
        <w:rPr>
          <w:snapToGrid w:val="0"/>
          <w:lang w:val="fr-FR"/>
        </w:rPr>
        <w:t>et 4 de la Convention.</w:t>
      </w:r>
    </w:p>
    <w:p w:rsidR="00EC5477" w:rsidRDefault="00EC5477" w:rsidP="00B56E2E">
      <w:pPr>
        <w:pStyle w:val="ECHRHeading2"/>
        <w:rPr>
          <w:lang w:val="fr-FR"/>
        </w:rPr>
      </w:pPr>
      <w:r>
        <w:rPr>
          <w:lang w:val="fr-FR"/>
        </w:rPr>
        <w:t>B.  Grief tiré de l</w:t>
      </w:r>
      <w:r w:rsidR="00300D45">
        <w:rPr>
          <w:lang w:val="fr-FR"/>
        </w:rPr>
        <w:t>’</w:t>
      </w:r>
      <w:r>
        <w:rPr>
          <w:lang w:val="fr-FR"/>
        </w:rPr>
        <w:t>article 2 du Protocole n</w:t>
      </w:r>
      <w:r w:rsidRPr="00EC5477">
        <w:rPr>
          <w:vertAlign w:val="superscript"/>
          <w:lang w:val="fr-FR"/>
        </w:rPr>
        <w:t>o</w:t>
      </w:r>
      <w:r>
        <w:rPr>
          <w:lang w:val="fr-FR"/>
        </w:rPr>
        <w:t xml:space="preserve"> 7 à la Convention</w:t>
      </w:r>
    </w:p>
    <w:p w:rsidR="00EC5477" w:rsidRDefault="00EC5477" w:rsidP="00B56E2E">
      <w:pPr>
        <w:pStyle w:val="ECHRPara"/>
        <w:rPr>
          <w:lang w:val="fr-FR"/>
        </w:rPr>
      </w:pPr>
      <w:r>
        <w:rPr>
          <w:lang w:val="fr-FR"/>
        </w:rPr>
        <w:t>49.  Le requérant s</w:t>
      </w:r>
      <w:r w:rsidR="00300D45">
        <w:rPr>
          <w:lang w:val="fr-FR"/>
        </w:rPr>
        <w:t>’</w:t>
      </w:r>
      <w:r>
        <w:rPr>
          <w:lang w:val="fr-FR"/>
        </w:rPr>
        <w:t>estime victime d</w:t>
      </w:r>
      <w:r w:rsidR="00300D45">
        <w:rPr>
          <w:lang w:val="fr-FR"/>
        </w:rPr>
        <w:t>’</w:t>
      </w:r>
      <w:r>
        <w:rPr>
          <w:lang w:val="fr-FR"/>
        </w:rPr>
        <w:t>une atteinte à son droit à un double degré de juridiction en matière pénale. Il affirme que le fait que les décisions de première et deuxième instance ont été lues conjointement, et donc comme un tout (paragraphe 15 ci-dessus), a rendu son appel un inefficace.</w:t>
      </w:r>
    </w:p>
    <w:p w:rsidR="00EC5477" w:rsidRDefault="00EC5477" w:rsidP="00B56E2E">
      <w:pPr>
        <w:pStyle w:val="ECHRPara"/>
        <w:rPr>
          <w:lang w:val="fr-FR"/>
        </w:rPr>
      </w:pPr>
      <w:r>
        <w:rPr>
          <w:lang w:val="fr-FR"/>
        </w:rPr>
        <w:t>Le requérant invoque l</w:t>
      </w:r>
      <w:r w:rsidR="00300D45">
        <w:rPr>
          <w:lang w:val="fr-FR"/>
        </w:rPr>
        <w:t>’</w:t>
      </w:r>
      <w:r>
        <w:rPr>
          <w:lang w:val="fr-FR"/>
        </w:rPr>
        <w:t>article 2 du Protocole n</w:t>
      </w:r>
      <w:r w:rsidRPr="00EC5477">
        <w:rPr>
          <w:vertAlign w:val="superscript"/>
          <w:lang w:val="fr-FR"/>
        </w:rPr>
        <w:t>o</w:t>
      </w:r>
      <w:r>
        <w:rPr>
          <w:lang w:val="fr-FR"/>
        </w:rPr>
        <w:t xml:space="preserve"> 7 à la Convention, ainsi libellé :</w:t>
      </w:r>
    </w:p>
    <w:p w:rsidR="00EC5477" w:rsidRPr="00956C1B" w:rsidRDefault="00EC5477" w:rsidP="00B56E2E">
      <w:pPr>
        <w:pStyle w:val="ECHRParaQuote"/>
        <w:rPr>
          <w:lang w:val="fr-FR"/>
        </w:rPr>
      </w:pPr>
      <w:r w:rsidRPr="00956C1B">
        <w:rPr>
          <w:lang w:val="fr-FR"/>
        </w:rPr>
        <w:lastRenderedPageBreak/>
        <w:t>« 1.  Toute personne déclarée coupable d</w:t>
      </w:r>
      <w:r w:rsidR="00300D45">
        <w:rPr>
          <w:lang w:val="fr-FR"/>
        </w:rPr>
        <w:t>’</w:t>
      </w:r>
      <w:r w:rsidRPr="00956C1B">
        <w:rPr>
          <w:lang w:val="fr-FR"/>
        </w:rPr>
        <w:t>une infraction pénale par un tribunal a le droit de faire examiner par une juridiction supérieure la déclaration de culpabilité ou la condamnation. L</w:t>
      </w:r>
      <w:r w:rsidR="00300D45">
        <w:rPr>
          <w:lang w:val="fr-FR"/>
        </w:rPr>
        <w:t>’</w:t>
      </w:r>
      <w:r w:rsidRPr="00956C1B">
        <w:rPr>
          <w:lang w:val="fr-FR"/>
        </w:rPr>
        <w:t>exercice de ce droit, y compris les motifs pour lesquels il peut être exercé, sont régis par la loi.</w:t>
      </w:r>
    </w:p>
    <w:p w:rsidR="00EC5477" w:rsidRPr="00956C1B" w:rsidRDefault="00EC5477" w:rsidP="00B56E2E">
      <w:pPr>
        <w:pStyle w:val="ECHRParaQuote"/>
        <w:rPr>
          <w:lang w:val="fr-FR"/>
        </w:rPr>
      </w:pPr>
      <w:r w:rsidRPr="00956C1B">
        <w:rPr>
          <w:lang w:val="fr-FR"/>
        </w:rPr>
        <w:t>2.  Ce droit peut faire l</w:t>
      </w:r>
      <w:r w:rsidR="00300D45">
        <w:rPr>
          <w:lang w:val="fr-FR"/>
        </w:rPr>
        <w:t>’</w:t>
      </w:r>
      <w:r w:rsidRPr="00956C1B">
        <w:rPr>
          <w:lang w:val="fr-FR"/>
        </w:rPr>
        <w:t>objet d</w:t>
      </w:r>
      <w:r w:rsidR="00300D45">
        <w:rPr>
          <w:lang w:val="fr-FR"/>
        </w:rPr>
        <w:t>’</w:t>
      </w:r>
      <w:r w:rsidRPr="00956C1B">
        <w:rPr>
          <w:lang w:val="fr-FR"/>
        </w:rPr>
        <w:t>exceptions pour des infractions mineures telles qu</w:t>
      </w:r>
      <w:r w:rsidR="00300D45">
        <w:rPr>
          <w:lang w:val="fr-FR"/>
        </w:rPr>
        <w:t>’</w:t>
      </w:r>
      <w:r w:rsidRPr="00956C1B">
        <w:rPr>
          <w:lang w:val="fr-FR"/>
        </w:rPr>
        <w:t>elles sont définies par la loi ou lorsque l</w:t>
      </w:r>
      <w:r w:rsidR="00300D45">
        <w:rPr>
          <w:lang w:val="fr-FR"/>
        </w:rPr>
        <w:t>’</w:t>
      </w:r>
      <w:r w:rsidRPr="00956C1B">
        <w:rPr>
          <w:lang w:val="fr-FR"/>
        </w:rPr>
        <w:t>intéressé a été jugé en première instance par la plus haute juridiction ou a été déclaré coupable et condamné à la suite d</w:t>
      </w:r>
      <w:r w:rsidR="00300D45">
        <w:rPr>
          <w:lang w:val="fr-FR"/>
        </w:rPr>
        <w:t>’</w:t>
      </w:r>
      <w:r w:rsidRPr="00956C1B">
        <w:rPr>
          <w:lang w:val="fr-FR"/>
        </w:rPr>
        <w:t>un recours contre son acquittement. »</w:t>
      </w:r>
    </w:p>
    <w:p w:rsidR="00EC5477" w:rsidRPr="00776BB5" w:rsidRDefault="00EC5477" w:rsidP="00B56E2E">
      <w:pPr>
        <w:pStyle w:val="ECHRPara"/>
        <w:rPr>
          <w:lang w:val="fr-FR"/>
        </w:rPr>
      </w:pPr>
      <w:r>
        <w:rPr>
          <w:lang w:val="fr-FR"/>
        </w:rPr>
        <w:t>50</w:t>
      </w:r>
      <w:r w:rsidRPr="00307191">
        <w:rPr>
          <w:lang w:val="fr-FR"/>
        </w:rPr>
        <w:t>.  </w:t>
      </w:r>
      <w:r w:rsidRPr="00730C60">
        <w:rPr>
          <w:lang w:val="fr-FR"/>
        </w:rPr>
        <w:t>La Cour note que l</w:t>
      </w:r>
      <w:r w:rsidR="00300D45">
        <w:rPr>
          <w:lang w:val="fr-FR"/>
        </w:rPr>
        <w:t>’</w:t>
      </w:r>
      <w:r w:rsidRPr="00730C60">
        <w:rPr>
          <w:lang w:val="fr-FR"/>
        </w:rPr>
        <w:t>article 2 du Protocole n</w:t>
      </w:r>
      <w:r w:rsidRPr="00EC5477">
        <w:rPr>
          <w:vertAlign w:val="superscript"/>
          <w:lang w:val="fr-FR"/>
        </w:rPr>
        <w:t>o</w:t>
      </w:r>
      <w:r w:rsidRPr="00730C60">
        <w:rPr>
          <w:lang w:val="fr-FR"/>
        </w:rPr>
        <w:t xml:space="preserve"> 7 règlemente pour l</w:t>
      </w:r>
      <w:r w:rsidR="00300D45">
        <w:rPr>
          <w:lang w:val="fr-FR"/>
        </w:rPr>
        <w:t>’</w:t>
      </w:r>
      <w:r w:rsidRPr="00730C60">
        <w:rPr>
          <w:lang w:val="fr-FR"/>
        </w:rPr>
        <w:t>essentiel des questions institutionnelles, telle que l</w:t>
      </w:r>
      <w:r w:rsidR="00300D45">
        <w:rPr>
          <w:lang w:val="fr-FR"/>
        </w:rPr>
        <w:t>’</w:t>
      </w:r>
      <w:r w:rsidRPr="00730C60">
        <w:rPr>
          <w:lang w:val="fr-FR"/>
        </w:rPr>
        <w:t>accès à une cour d</w:t>
      </w:r>
      <w:r w:rsidR="00300D45">
        <w:rPr>
          <w:lang w:val="fr-FR"/>
        </w:rPr>
        <w:t>’</w:t>
      </w:r>
      <w:r w:rsidRPr="00730C60">
        <w:rPr>
          <w:lang w:val="fr-FR"/>
        </w:rPr>
        <w:t>appel ou l</w:t>
      </w:r>
      <w:r w:rsidR="00300D45">
        <w:rPr>
          <w:lang w:val="fr-FR"/>
        </w:rPr>
        <w:t>’</w:t>
      </w:r>
      <w:r w:rsidRPr="00730C60">
        <w:rPr>
          <w:lang w:val="fr-FR"/>
        </w:rPr>
        <w:t>étendue d</w:t>
      </w:r>
      <w:r>
        <w:rPr>
          <w:lang w:val="fr-FR"/>
        </w:rPr>
        <w:t>u ré</w:t>
      </w:r>
      <w:r w:rsidRPr="00730C60">
        <w:rPr>
          <w:lang w:val="fr-FR"/>
        </w:rPr>
        <w:t>examen pouvant être effectué par celle-ci (</w:t>
      </w:r>
      <w:r w:rsidRPr="00730C60">
        <w:rPr>
          <w:rFonts w:ascii="Times New Roman" w:hAnsi="Times New Roman"/>
          <w:i/>
          <w:color w:val="000000"/>
          <w:szCs w:val="24"/>
          <w:lang w:val="fr-FR"/>
        </w:rPr>
        <w:t>Shvydka c. Ukraine</w:t>
      </w:r>
      <w:r w:rsidRPr="00730C60">
        <w:rPr>
          <w:rFonts w:ascii="Times New Roman" w:hAnsi="Times New Roman"/>
          <w:color w:val="000000"/>
          <w:szCs w:val="24"/>
          <w:lang w:val="fr-FR"/>
        </w:rPr>
        <w:t>, n</w:t>
      </w:r>
      <w:r w:rsidRPr="00EC5477">
        <w:rPr>
          <w:rFonts w:ascii="Times New Roman" w:hAnsi="Times New Roman"/>
          <w:color w:val="000000"/>
          <w:szCs w:val="24"/>
          <w:vertAlign w:val="superscript"/>
          <w:lang w:val="fr-FR"/>
        </w:rPr>
        <w:t>o</w:t>
      </w:r>
      <w:r w:rsidRPr="00730C60">
        <w:rPr>
          <w:rFonts w:ascii="Times New Roman" w:hAnsi="Times New Roman"/>
          <w:color w:val="000000"/>
          <w:szCs w:val="24"/>
          <w:lang w:val="fr-FR"/>
        </w:rPr>
        <w:t xml:space="preserve"> 17888/12, § 49, 30 octobre 2014</w:t>
      </w:r>
      <w:r w:rsidRPr="00730C60">
        <w:rPr>
          <w:lang w:val="fr-FR"/>
        </w:rPr>
        <w:t xml:space="preserve">). </w:t>
      </w:r>
      <w:r>
        <w:rPr>
          <w:lang w:val="fr-FR"/>
        </w:rPr>
        <w:t>Elle</w:t>
      </w:r>
      <w:r w:rsidRPr="00776BB5">
        <w:rPr>
          <w:lang w:val="fr-FR"/>
        </w:rPr>
        <w:t xml:space="preserve"> rappelle</w:t>
      </w:r>
      <w:r>
        <w:rPr>
          <w:lang w:val="fr-FR"/>
        </w:rPr>
        <w:t xml:space="preserve"> également</w:t>
      </w:r>
      <w:r w:rsidRPr="00776BB5">
        <w:rPr>
          <w:lang w:val="fr-FR"/>
        </w:rPr>
        <w:t xml:space="preserve"> que les </w:t>
      </w:r>
      <w:r>
        <w:rPr>
          <w:rFonts w:cstheme="minorHAnsi"/>
          <w:lang w:val="fr-FR"/>
        </w:rPr>
        <w:t>É</w:t>
      </w:r>
      <w:r w:rsidRPr="00776BB5">
        <w:rPr>
          <w:lang w:val="fr-FR"/>
        </w:rPr>
        <w:t>tats contractants disposent en principe d</w:t>
      </w:r>
      <w:r w:rsidR="00300D45">
        <w:rPr>
          <w:lang w:val="fr-FR"/>
        </w:rPr>
        <w:t>’</w:t>
      </w:r>
      <w:r w:rsidRPr="00776BB5">
        <w:rPr>
          <w:lang w:val="fr-FR"/>
        </w:rPr>
        <w:t>un large pouvoir d</w:t>
      </w:r>
      <w:r w:rsidR="00300D45">
        <w:rPr>
          <w:lang w:val="fr-FR"/>
        </w:rPr>
        <w:t>’</w:t>
      </w:r>
      <w:r w:rsidRPr="00776BB5">
        <w:rPr>
          <w:lang w:val="fr-FR"/>
        </w:rPr>
        <w:t>appréciation pour décider des modalités d</w:t>
      </w:r>
      <w:r w:rsidR="00300D45">
        <w:rPr>
          <w:lang w:val="fr-FR"/>
        </w:rPr>
        <w:t>’</w:t>
      </w:r>
      <w:r w:rsidRPr="00776BB5">
        <w:rPr>
          <w:lang w:val="fr-FR"/>
        </w:rPr>
        <w:t>exercice du droit prévu par l</w:t>
      </w:r>
      <w:r w:rsidR="00300D45">
        <w:rPr>
          <w:lang w:val="fr-FR"/>
        </w:rPr>
        <w:t>’</w:t>
      </w:r>
      <w:r w:rsidRPr="00776BB5">
        <w:rPr>
          <w:lang w:val="fr-FR"/>
        </w:rPr>
        <w:t>article 2 du Protocole n</w:t>
      </w:r>
      <w:r w:rsidRPr="00EC5477">
        <w:rPr>
          <w:vertAlign w:val="superscript"/>
          <w:lang w:val="fr-FR"/>
        </w:rPr>
        <w:t>o</w:t>
      </w:r>
      <w:r w:rsidRPr="00776BB5">
        <w:rPr>
          <w:lang w:val="fr-FR"/>
        </w:rPr>
        <w:t xml:space="preserve"> 7 à la Convention. Ainsi, l</w:t>
      </w:r>
      <w:r w:rsidR="00300D45">
        <w:rPr>
          <w:lang w:val="fr-FR"/>
        </w:rPr>
        <w:t>’</w:t>
      </w:r>
      <w:r w:rsidRPr="00776BB5">
        <w:rPr>
          <w:lang w:val="fr-FR"/>
        </w:rPr>
        <w:t>examen d</w:t>
      </w:r>
      <w:r w:rsidR="00300D45">
        <w:rPr>
          <w:lang w:val="fr-FR"/>
        </w:rPr>
        <w:t>’</w:t>
      </w:r>
      <w:r w:rsidRPr="00776BB5">
        <w:rPr>
          <w:lang w:val="fr-FR"/>
        </w:rPr>
        <w:t>une déclaration de culpabilité ou d</w:t>
      </w:r>
      <w:r w:rsidR="00300D45">
        <w:rPr>
          <w:lang w:val="fr-FR"/>
        </w:rPr>
        <w:t>’</w:t>
      </w:r>
      <w:r w:rsidRPr="00776BB5">
        <w:rPr>
          <w:lang w:val="fr-FR"/>
        </w:rPr>
        <w:t>une condamnation par une juridiction supérieure peut soit porter sur des questions tant de fait que de droit soit se limiter aux seuls points de droi</w:t>
      </w:r>
      <w:r>
        <w:rPr>
          <w:lang w:val="fr-FR"/>
        </w:rPr>
        <w:t>t (</w:t>
      </w:r>
      <w:r w:rsidRPr="00730C60">
        <w:rPr>
          <w:i/>
          <w:lang w:val="fr-FR"/>
        </w:rPr>
        <w:t>Krombach c. France</w:t>
      </w:r>
      <w:r w:rsidRPr="00776BB5">
        <w:rPr>
          <w:lang w:val="fr-FR"/>
        </w:rPr>
        <w:t>, n</w:t>
      </w:r>
      <w:r w:rsidRPr="00EC5477">
        <w:rPr>
          <w:vertAlign w:val="superscript"/>
          <w:lang w:val="fr-FR"/>
        </w:rPr>
        <w:t>o</w:t>
      </w:r>
      <w:r>
        <w:rPr>
          <w:lang w:val="fr-FR"/>
        </w:rPr>
        <w:t xml:space="preserve"> 29731/96</w:t>
      </w:r>
      <w:r w:rsidRPr="0007187E">
        <w:rPr>
          <w:lang w:val="fr-FR"/>
        </w:rPr>
        <w:t>, § 96, ECHR 2001</w:t>
      </w:r>
      <w:r w:rsidRPr="0007187E">
        <w:rPr>
          <w:lang w:val="fr-FR"/>
        </w:rPr>
        <w:noBreakHyphen/>
        <w:t>II)</w:t>
      </w:r>
      <w:r>
        <w:rPr>
          <w:lang w:val="fr-FR"/>
        </w:rPr>
        <w:t>.</w:t>
      </w:r>
    </w:p>
    <w:p w:rsidR="00EC5477" w:rsidRDefault="00EC5477" w:rsidP="00B56E2E">
      <w:pPr>
        <w:pStyle w:val="ECHRPara"/>
        <w:rPr>
          <w:lang w:val="fr-FR"/>
        </w:rPr>
      </w:pPr>
      <w:r>
        <w:rPr>
          <w:lang w:val="fr-FR"/>
        </w:rPr>
        <w:t>51.  En l</w:t>
      </w:r>
      <w:r w:rsidR="00300D45">
        <w:rPr>
          <w:lang w:val="fr-FR"/>
        </w:rPr>
        <w:t>’</w:t>
      </w:r>
      <w:r>
        <w:rPr>
          <w:lang w:val="fr-FR"/>
        </w:rPr>
        <w:t>espèce, l</w:t>
      </w:r>
      <w:r w:rsidRPr="0007187E">
        <w:rPr>
          <w:lang w:val="fr-FR"/>
        </w:rPr>
        <w:t>e requérant, condamné en première instance, a eu l</w:t>
      </w:r>
      <w:r>
        <w:rPr>
          <w:lang w:val="fr-FR"/>
        </w:rPr>
        <w:t>a possibilité</w:t>
      </w:r>
      <w:r w:rsidRPr="0007187E">
        <w:rPr>
          <w:lang w:val="fr-FR"/>
        </w:rPr>
        <w:t xml:space="preserve"> d</w:t>
      </w:r>
      <w:r w:rsidR="00300D45">
        <w:rPr>
          <w:lang w:val="fr-FR"/>
        </w:rPr>
        <w:t>’</w:t>
      </w:r>
      <w:r w:rsidRPr="0007187E">
        <w:rPr>
          <w:lang w:val="fr-FR"/>
        </w:rPr>
        <w:t>interjeter appel et de se pourvoir en cassation contre le verdict de culpabilité. Deux juridictions ont donc réexaminé la pertinence des éléments à sa charge et la légalité de sa condamnation</w:t>
      </w:r>
      <w:r>
        <w:rPr>
          <w:lang w:val="fr-FR"/>
        </w:rPr>
        <w:t xml:space="preserve"> (voir, </w:t>
      </w:r>
      <w:r>
        <w:rPr>
          <w:i/>
          <w:lang w:val="fr-FR"/>
        </w:rPr>
        <w:t>mutatis mutandis</w:t>
      </w:r>
      <w:r>
        <w:rPr>
          <w:lang w:val="fr-FR"/>
        </w:rPr>
        <w:t xml:space="preserve">, </w:t>
      </w:r>
      <w:r w:rsidRPr="00730C60">
        <w:rPr>
          <w:i/>
          <w:lang w:val="fr-FR"/>
        </w:rPr>
        <w:t>Previti c. Italie</w:t>
      </w:r>
      <w:r>
        <w:rPr>
          <w:lang w:val="fr-FR"/>
        </w:rPr>
        <w:t xml:space="preserve"> (déc.), n</w:t>
      </w:r>
      <w:r w:rsidRPr="00EC5477">
        <w:rPr>
          <w:vertAlign w:val="superscript"/>
          <w:lang w:val="fr-FR"/>
        </w:rPr>
        <w:t>o</w:t>
      </w:r>
      <w:r>
        <w:rPr>
          <w:lang w:val="fr-FR"/>
        </w:rPr>
        <w:t xml:space="preserve"> 45291/06, § 315, 8 décembre 2009).</w:t>
      </w:r>
      <w:r w:rsidR="00F17731">
        <w:rPr>
          <w:lang w:val="fr-FR"/>
        </w:rPr>
        <w:t xml:space="preserve"> </w:t>
      </w:r>
      <w:r>
        <w:rPr>
          <w:lang w:val="fr-FR"/>
        </w:rPr>
        <w:t>En particulier, la cour d</w:t>
      </w:r>
      <w:r w:rsidR="00300D45">
        <w:rPr>
          <w:lang w:val="fr-FR"/>
        </w:rPr>
        <w:t>’</w:t>
      </w:r>
      <w:r>
        <w:rPr>
          <w:lang w:val="fr-FR"/>
        </w:rPr>
        <w:t>appel était compétente à se pencher sur toute question de fait ou de droit pertinente pour décider du bien-fondé des accusations. Dans ces circonstances, la Cour ne saurait déceler aucune apparence de violation de l</w:t>
      </w:r>
      <w:r w:rsidR="00300D45">
        <w:rPr>
          <w:lang w:val="fr-FR"/>
        </w:rPr>
        <w:t>’</w:t>
      </w:r>
      <w:r>
        <w:rPr>
          <w:lang w:val="fr-FR"/>
        </w:rPr>
        <w:t>article 2 du Protocole n</w:t>
      </w:r>
      <w:r w:rsidRPr="00EC5477">
        <w:rPr>
          <w:vertAlign w:val="superscript"/>
          <w:lang w:val="fr-FR"/>
        </w:rPr>
        <w:t>o</w:t>
      </w:r>
      <w:r>
        <w:rPr>
          <w:lang w:val="fr-FR"/>
        </w:rPr>
        <w:t xml:space="preserve"> 7.</w:t>
      </w:r>
    </w:p>
    <w:p w:rsidR="00EC5477" w:rsidRDefault="00EC5477" w:rsidP="00B56E2E">
      <w:pPr>
        <w:pStyle w:val="ECHRPara"/>
        <w:rPr>
          <w:lang w:val="fr-FR"/>
        </w:rPr>
      </w:pPr>
      <w:r>
        <w:rPr>
          <w:lang w:val="fr-FR"/>
        </w:rPr>
        <w:t>52.  </w:t>
      </w:r>
      <w:r w:rsidRPr="002331CB">
        <w:rPr>
          <w:snapToGrid w:val="0"/>
          <w:lang w:val="fr-FR"/>
        </w:rPr>
        <w:t>Il s</w:t>
      </w:r>
      <w:r w:rsidR="00300D45">
        <w:rPr>
          <w:snapToGrid w:val="0"/>
          <w:lang w:val="fr-FR"/>
        </w:rPr>
        <w:t>’</w:t>
      </w:r>
      <w:r w:rsidRPr="002331CB">
        <w:rPr>
          <w:snapToGrid w:val="0"/>
          <w:lang w:val="fr-FR"/>
        </w:rPr>
        <w:t>ensuit que ce grief est manifestement mal fondé et doit être rejeté en application de l</w:t>
      </w:r>
      <w:r w:rsidR="00300D45">
        <w:rPr>
          <w:snapToGrid w:val="0"/>
          <w:lang w:val="fr-FR"/>
        </w:rPr>
        <w:t>’</w:t>
      </w:r>
      <w:r w:rsidRPr="002331CB">
        <w:rPr>
          <w:snapToGrid w:val="0"/>
          <w:lang w:val="fr-FR"/>
        </w:rPr>
        <w:t>article 35 §§ 3</w:t>
      </w:r>
      <w:r w:rsidR="00F17731">
        <w:rPr>
          <w:snapToGrid w:val="0"/>
          <w:lang w:val="fr-FR"/>
        </w:rPr>
        <w:t xml:space="preserve"> </w:t>
      </w:r>
      <w:r w:rsidRPr="002331CB">
        <w:rPr>
          <w:lang w:val="fr-FR"/>
        </w:rPr>
        <w:t xml:space="preserve">a) </w:t>
      </w:r>
      <w:r w:rsidRPr="002331CB">
        <w:rPr>
          <w:snapToGrid w:val="0"/>
          <w:lang w:val="fr-FR"/>
        </w:rPr>
        <w:t>et 4 de la Convention.</w:t>
      </w:r>
    </w:p>
    <w:p w:rsidR="00EC5477" w:rsidRPr="00E21176" w:rsidRDefault="00EC5477" w:rsidP="00B56E2E">
      <w:pPr>
        <w:pStyle w:val="DecList"/>
        <w:rPr>
          <w:lang w:val="fr-FR"/>
        </w:rPr>
      </w:pPr>
      <w:r w:rsidRPr="00E21176">
        <w:rPr>
          <w:lang w:val="fr-FR"/>
        </w:rPr>
        <w:t>Par ces motifs, la Cour, à l</w:t>
      </w:r>
      <w:r w:rsidR="00300D45">
        <w:rPr>
          <w:lang w:val="fr-FR"/>
        </w:rPr>
        <w:t>’</w:t>
      </w:r>
      <w:r w:rsidRPr="00E21176">
        <w:rPr>
          <w:lang w:val="fr-FR"/>
        </w:rPr>
        <w:t>unanimité,</w:t>
      </w:r>
    </w:p>
    <w:p w:rsidR="00EC5477" w:rsidRPr="00E21176" w:rsidRDefault="00EC5477" w:rsidP="00B56E2E">
      <w:pPr>
        <w:pStyle w:val="DecList"/>
        <w:rPr>
          <w:lang w:val="fr-FR"/>
        </w:rPr>
      </w:pPr>
      <w:r w:rsidRPr="00E21176">
        <w:rPr>
          <w:i/>
          <w:lang w:val="fr-FR"/>
        </w:rPr>
        <w:t xml:space="preserve">Déclare </w:t>
      </w:r>
      <w:r w:rsidRPr="00E21176">
        <w:rPr>
          <w:lang w:val="fr-FR"/>
        </w:rPr>
        <w:t>la requête irrecevable.</w:t>
      </w:r>
    </w:p>
    <w:p w:rsidR="006544C4" w:rsidRPr="00AD4F05" w:rsidRDefault="006544C4" w:rsidP="004047FE">
      <w:pPr>
        <w:pStyle w:val="ECHRPara"/>
        <w:rPr>
          <w:sz w:val="2"/>
          <w:szCs w:val="2"/>
          <w:lang w:val="fr-FR" w:eastAsia="en-GB"/>
        </w:rPr>
      </w:pPr>
    </w:p>
    <w:p w:rsidR="006F19B0" w:rsidRPr="00AD4F05" w:rsidRDefault="00F40988" w:rsidP="006F19B0">
      <w:pPr>
        <w:pStyle w:val="JuParaLast"/>
        <w:rPr>
          <w:lang w:val="fr-FR"/>
        </w:rPr>
      </w:pPr>
      <w:r w:rsidRPr="00AD4F05">
        <w:rPr>
          <w:szCs w:val="24"/>
          <w:lang w:val="fr-FR"/>
        </w:rPr>
        <w:t xml:space="preserve">Fait en français puis communiqué par écrit le </w:t>
      </w:r>
      <w:r w:rsidR="00EC5477">
        <w:rPr>
          <w:szCs w:val="24"/>
          <w:lang w:val="fr-FR"/>
        </w:rPr>
        <w:t>12 novembre 2015</w:t>
      </w:r>
      <w:r w:rsidRPr="00AD4F05">
        <w:rPr>
          <w:lang w:val="fr-FR"/>
        </w:rPr>
        <w:t>.</w:t>
      </w:r>
    </w:p>
    <w:p w:rsidR="00234E8A" w:rsidRPr="00AD4F05" w:rsidRDefault="00EC5477" w:rsidP="00F17731">
      <w:pPr>
        <w:pStyle w:val="JuSigned"/>
        <w:rPr>
          <w:lang w:val="fr-FR"/>
        </w:rPr>
      </w:pPr>
      <w:r w:rsidRPr="00AD4F05">
        <w:rPr>
          <w:lang w:val="fr-FR"/>
        </w:rPr>
        <w:tab/>
      </w:r>
      <w:r>
        <w:rPr>
          <w:lang w:val="fr-FR"/>
        </w:rPr>
        <w:t>Françoise</w:t>
      </w:r>
      <w:r w:rsidRPr="00AD4F05">
        <w:rPr>
          <w:lang w:val="fr-FR"/>
        </w:rPr>
        <w:t xml:space="preserve"> </w:t>
      </w:r>
      <w:r>
        <w:rPr>
          <w:lang w:val="fr-FR"/>
        </w:rPr>
        <w:t>Elens-Passos</w:t>
      </w:r>
      <w:r w:rsidR="006544C4" w:rsidRPr="00AD4F05">
        <w:rPr>
          <w:lang w:val="fr-FR"/>
        </w:rPr>
        <w:tab/>
      </w:r>
      <w:r>
        <w:rPr>
          <w:lang w:val="fr-FR"/>
        </w:rPr>
        <w:t>Päivi</w:t>
      </w:r>
      <w:r w:rsidRPr="00AD4F05">
        <w:rPr>
          <w:lang w:val="fr-FR"/>
        </w:rPr>
        <w:t xml:space="preserve"> </w:t>
      </w:r>
      <w:r>
        <w:rPr>
          <w:lang w:val="fr-FR"/>
        </w:rPr>
        <w:t>Hirvelä</w:t>
      </w:r>
      <w:r w:rsidR="006544C4" w:rsidRPr="00AD4F05">
        <w:rPr>
          <w:lang w:val="fr-FR"/>
        </w:rPr>
        <w:br/>
      </w:r>
      <w:r w:rsidR="006544C4" w:rsidRPr="00AD4F05">
        <w:rPr>
          <w:lang w:val="fr-FR"/>
        </w:rPr>
        <w:tab/>
      </w:r>
      <w:r>
        <w:rPr>
          <w:lang w:val="fr-FR"/>
        </w:rPr>
        <w:t>Greffière</w:t>
      </w:r>
      <w:r w:rsidR="006544C4" w:rsidRPr="00AD4F05">
        <w:rPr>
          <w:lang w:val="fr-FR"/>
        </w:rPr>
        <w:tab/>
      </w:r>
      <w:r w:rsidRPr="00AD4F05">
        <w:rPr>
          <w:lang w:val="fr-FR"/>
        </w:rPr>
        <w:t>Présidente</w:t>
      </w:r>
    </w:p>
    <w:sectPr w:rsidR="00234E8A" w:rsidRPr="00AD4F05"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2F8" w:rsidRDefault="00F852F8" w:rsidP="006544C4">
      <w:r>
        <w:separator/>
      </w:r>
    </w:p>
  </w:endnote>
  <w:endnote w:type="continuationSeparator" w:id="0">
    <w:p w:rsidR="00F852F8" w:rsidRDefault="00F852F8"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477" w:rsidRPr="00150BFA" w:rsidRDefault="00EC5477" w:rsidP="0020718E">
    <w:pPr>
      <w:jc w:val="center"/>
    </w:pPr>
    <w:r>
      <w:rPr>
        <w:noProof/>
        <w:lang w:val="it-IT" w:eastAsia="it-IT"/>
      </w:rPr>
      <w:drawing>
        <wp:inline distT="0" distB="0" distL="0" distR="0" wp14:anchorId="32948F5D" wp14:editId="084CC2E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F852F8"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2F8" w:rsidRDefault="00F852F8" w:rsidP="006544C4">
      <w:r>
        <w:separator/>
      </w:r>
    </w:p>
  </w:footnote>
  <w:footnote w:type="continuationSeparator" w:id="0">
    <w:p w:rsidR="00F852F8" w:rsidRDefault="00F852F8"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EC5477"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054E5B">
      <w:rPr>
        <w:rStyle w:val="Numeropagina"/>
        <w:noProof/>
        <w:lang w:val="en-GB"/>
      </w:rPr>
      <w:t>2</w:t>
    </w:r>
    <w:r>
      <w:rPr>
        <w:rStyle w:val="Numeropagina"/>
        <w:lang w:val="en-GB"/>
      </w:rPr>
      <w:fldChar w:fldCharType="end"/>
    </w:r>
    <w:r w:rsidR="00334EC5" w:rsidRPr="000D527F">
      <w:rPr>
        <w:lang w:val="en-GB"/>
      </w:rPr>
      <w:tab/>
      <w:t xml:space="preserve">DÉCISION </w:t>
    </w:r>
    <w:r>
      <w:rPr>
        <w:lang w:val="en-GB"/>
      </w:rPr>
      <w:t>DI SILVIO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334EC5" w:rsidP="006544C4">
    <w:pPr>
      <w:pStyle w:val="ECHRHeader"/>
      <w:rPr>
        <w:lang w:val="en-GB"/>
      </w:rPr>
    </w:pPr>
    <w:r>
      <w:tab/>
    </w:r>
    <w:r w:rsidRPr="000D527F">
      <w:rPr>
        <w:lang w:val="en-GB"/>
      </w:rPr>
      <w:t xml:space="preserve">DÉCISION </w:t>
    </w:r>
    <w:r w:rsidR="00EC5477">
      <w:rPr>
        <w:lang w:val="en-GB"/>
      </w:rPr>
      <w:t>DI SILVIO c. ITALIE</w:t>
    </w:r>
    <w:r w:rsidRPr="000D527F">
      <w:rPr>
        <w:lang w:val="en-GB"/>
      </w:rPr>
      <w:tab/>
    </w:r>
    <w:r w:rsidR="00EC5477">
      <w:rPr>
        <w:rStyle w:val="Numeropagina"/>
        <w:lang w:val="en-GB"/>
      </w:rPr>
      <w:fldChar w:fldCharType="begin"/>
    </w:r>
    <w:r w:rsidR="00EC5477">
      <w:rPr>
        <w:rStyle w:val="Numeropagina"/>
        <w:lang w:val="en-GB"/>
      </w:rPr>
      <w:instrText xml:space="preserve"> PAGE </w:instrText>
    </w:r>
    <w:r w:rsidR="00EC5477">
      <w:rPr>
        <w:rStyle w:val="Numeropagina"/>
        <w:lang w:val="en-GB"/>
      </w:rPr>
      <w:fldChar w:fldCharType="separate"/>
    </w:r>
    <w:r w:rsidR="00054E5B">
      <w:rPr>
        <w:rStyle w:val="Numeropagina"/>
        <w:noProof/>
        <w:lang w:val="en-GB"/>
      </w:rPr>
      <w:t>9</w:t>
    </w:r>
    <w:r w:rsidR="00EC5477">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477" w:rsidRPr="00A45145" w:rsidRDefault="00EC5477" w:rsidP="00A45145">
    <w:pPr>
      <w:jc w:val="center"/>
    </w:pPr>
    <w:r>
      <w:rPr>
        <w:noProof/>
        <w:lang w:val="it-IT" w:eastAsia="it-IT"/>
      </w:rPr>
      <w:drawing>
        <wp:inline distT="0" distB="0" distL="0" distR="0" wp14:anchorId="36C86B48" wp14:editId="41C868B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F852F8"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EC5477"/>
    <w:rsid w:val="000041F8"/>
    <w:rsid w:val="000042A8"/>
    <w:rsid w:val="00004308"/>
    <w:rsid w:val="00005BF0"/>
    <w:rsid w:val="00007154"/>
    <w:rsid w:val="000103AE"/>
    <w:rsid w:val="00011D69"/>
    <w:rsid w:val="00012AD3"/>
    <w:rsid w:val="00015C2D"/>
    <w:rsid w:val="00015F00"/>
    <w:rsid w:val="00022C1D"/>
    <w:rsid w:val="00034987"/>
    <w:rsid w:val="00054E5B"/>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21FA"/>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0D45"/>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3936"/>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21C4"/>
    <w:rsid w:val="007A716F"/>
    <w:rsid w:val="007B270A"/>
    <w:rsid w:val="007C0695"/>
    <w:rsid w:val="007C419A"/>
    <w:rsid w:val="007C4CC8"/>
    <w:rsid w:val="007C5426"/>
    <w:rsid w:val="007C5798"/>
    <w:rsid w:val="007D4832"/>
    <w:rsid w:val="007E21B2"/>
    <w:rsid w:val="007E2C4E"/>
    <w:rsid w:val="007F1905"/>
    <w:rsid w:val="00801300"/>
    <w:rsid w:val="008024BF"/>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B757F"/>
    <w:rsid w:val="008C26DE"/>
    <w:rsid w:val="008C4AA6"/>
    <w:rsid w:val="008D2225"/>
    <w:rsid w:val="008D4752"/>
    <w:rsid w:val="008E271C"/>
    <w:rsid w:val="008E418E"/>
    <w:rsid w:val="008E5BC6"/>
    <w:rsid w:val="008E6A25"/>
    <w:rsid w:val="008F5193"/>
    <w:rsid w:val="00900BF8"/>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42D13"/>
    <w:rsid w:val="00C53F4A"/>
    <w:rsid w:val="00C54125"/>
    <w:rsid w:val="00C55B54"/>
    <w:rsid w:val="00C6098E"/>
    <w:rsid w:val="00C6152C"/>
    <w:rsid w:val="00C74810"/>
    <w:rsid w:val="00C90D68"/>
    <w:rsid w:val="00C939FE"/>
    <w:rsid w:val="00CA4BDA"/>
    <w:rsid w:val="00CB1F66"/>
    <w:rsid w:val="00CB2951"/>
    <w:rsid w:val="00CD282B"/>
    <w:rsid w:val="00CD3807"/>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5477"/>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17731"/>
    <w:rsid w:val="00F21161"/>
    <w:rsid w:val="00F218EF"/>
    <w:rsid w:val="00F21BC7"/>
    <w:rsid w:val="00F266A2"/>
    <w:rsid w:val="00F32269"/>
    <w:rsid w:val="00F40988"/>
    <w:rsid w:val="00F56A6F"/>
    <w:rsid w:val="00F5709C"/>
    <w:rsid w:val="00F64EF1"/>
    <w:rsid w:val="00F852F8"/>
    <w:rsid w:val="00F8765F"/>
    <w:rsid w:val="00F90767"/>
    <w:rsid w:val="00FA685B"/>
    <w:rsid w:val="00FB0C01"/>
    <w:rsid w:val="00FB387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EC5477"/>
    <w:pPr>
      <w:jc w:val="both"/>
    </w:pPr>
    <w:rPr>
      <w:rFonts w:eastAsiaTheme="minorEastAsia"/>
      <w:sz w:val="24"/>
    </w:rPr>
  </w:style>
  <w:style w:type="paragraph" w:styleId="Titolo1">
    <w:name w:val="heading 1"/>
    <w:basedOn w:val="Normale"/>
    <w:next w:val="Normale"/>
    <w:link w:val="Titolo1Carattere"/>
    <w:uiPriority w:val="99"/>
    <w:semiHidden/>
    <w:rsid w:val="00EC547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EC547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EC547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EC547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EC5477"/>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EC547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EC5477"/>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EC547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EC547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EC54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5477"/>
    <w:rPr>
      <w:rFonts w:ascii="Tahoma" w:eastAsiaTheme="minorEastAsia" w:hAnsi="Tahoma" w:cs="Tahoma"/>
      <w:sz w:val="16"/>
      <w:szCs w:val="16"/>
    </w:rPr>
  </w:style>
  <w:style w:type="character" w:styleId="Titolodellibro">
    <w:name w:val="Book Title"/>
    <w:uiPriority w:val="99"/>
    <w:semiHidden/>
    <w:qFormat/>
    <w:rsid w:val="00EC5477"/>
    <w:rPr>
      <w:i/>
      <w:iCs/>
      <w:smallCaps/>
      <w:spacing w:val="5"/>
    </w:rPr>
  </w:style>
  <w:style w:type="paragraph" w:customStyle="1" w:styleId="ECHRHeader">
    <w:name w:val="ECHR_Header"/>
    <w:aliases w:val="Ju_Header"/>
    <w:basedOn w:val="Intestazione"/>
    <w:uiPriority w:val="4"/>
    <w:qFormat/>
    <w:rsid w:val="00EC5477"/>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EC5477"/>
    <w:pPr>
      <w:jc w:val="left"/>
    </w:pPr>
    <w:rPr>
      <w:sz w:val="8"/>
    </w:rPr>
  </w:style>
  <w:style w:type="character" w:styleId="Enfasigrassetto">
    <w:name w:val="Strong"/>
    <w:uiPriority w:val="99"/>
    <w:semiHidden/>
    <w:qFormat/>
    <w:rsid w:val="00EC5477"/>
    <w:rPr>
      <w:b/>
      <w:bCs/>
    </w:rPr>
  </w:style>
  <w:style w:type="paragraph" w:styleId="Nessunaspaziatura">
    <w:name w:val="No Spacing"/>
    <w:basedOn w:val="Normale"/>
    <w:link w:val="NessunaspaziaturaCarattere"/>
    <w:semiHidden/>
    <w:qFormat/>
    <w:rsid w:val="00EC5477"/>
    <w:rPr>
      <w:sz w:val="22"/>
    </w:rPr>
  </w:style>
  <w:style w:type="character" w:customStyle="1" w:styleId="NessunaspaziaturaCarattere">
    <w:name w:val="Nessuna spaziatura Carattere"/>
    <w:basedOn w:val="Carpredefinitoparagrafo"/>
    <w:link w:val="Nessunaspaziatura"/>
    <w:semiHidden/>
    <w:rsid w:val="00EC5477"/>
    <w:rPr>
      <w:rFonts w:eastAsiaTheme="minorEastAsia"/>
    </w:rPr>
  </w:style>
  <w:style w:type="paragraph" w:customStyle="1" w:styleId="ECHRFooterLine">
    <w:name w:val="ECHR_Footer_Line"/>
    <w:aliases w:val="Footer_Line"/>
    <w:basedOn w:val="Normale"/>
    <w:next w:val="ECHRFooter"/>
    <w:uiPriority w:val="57"/>
    <w:semiHidden/>
    <w:rsid w:val="00EC5477"/>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
    <w:basedOn w:val="Normale"/>
    <w:uiPriority w:val="14"/>
    <w:qFormat/>
    <w:rsid w:val="00EC5477"/>
    <w:pPr>
      <w:spacing w:before="120" w:after="120"/>
      <w:ind w:left="425" w:firstLine="142"/>
    </w:pPr>
    <w:rPr>
      <w:sz w:val="20"/>
    </w:rPr>
  </w:style>
  <w:style w:type="paragraph" w:customStyle="1" w:styleId="JuParaSub">
    <w:name w:val="Ju_Para_Sub"/>
    <w:basedOn w:val="ECHRPara"/>
    <w:uiPriority w:val="13"/>
    <w:qFormat/>
    <w:rsid w:val="00EC5477"/>
    <w:pPr>
      <w:ind w:left="284"/>
    </w:pPr>
  </w:style>
  <w:style w:type="paragraph" w:customStyle="1" w:styleId="JuAppQuestion">
    <w:name w:val="Ju_App_Question"/>
    <w:basedOn w:val="Normale"/>
    <w:uiPriority w:val="5"/>
    <w:qFormat/>
    <w:rsid w:val="00EC5477"/>
    <w:pPr>
      <w:numPr>
        <w:numId w:val="14"/>
      </w:numPr>
      <w:jc w:val="left"/>
    </w:pPr>
    <w:rPr>
      <w:b/>
    </w:rPr>
  </w:style>
  <w:style w:type="paragraph" w:customStyle="1" w:styleId="OpiPara">
    <w:name w:val="Opi_Para"/>
    <w:basedOn w:val="ECHRPara"/>
    <w:uiPriority w:val="46"/>
    <w:semiHidden/>
    <w:qFormat/>
    <w:rsid w:val="00EC5477"/>
  </w:style>
  <w:style w:type="paragraph" w:customStyle="1" w:styleId="OpiParaSub">
    <w:name w:val="Opi_Para_Sub"/>
    <w:basedOn w:val="JuParaSub"/>
    <w:uiPriority w:val="47"/>
    <w:semiHidden/>
    <w:qFormat/>
    <w:rsid w:val="00EC5477"/>
  </w:style>
  <w:style w:type="paragraph" w:customStyle="1" w:styleId="ECHRTitleCentre3">
    <w:name w:val="ECHR_Title_Centre_3"/>
    <w:aliases w:val="Ju_H_Article"/>
    <w:basedOn w:val="Normale"/>
    <w:next w:val="ECHRParaQuote"/>
    <w:uiPriority w:val="27"/>
    <w:qFormat/>
    <w:rsid w:val="00EC547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EC5477"/>
    <w:pPr>
      <w:keepNext/>
      <w:keepLines/>
      <w:spacing w:after="240"/>
      <w:jc w:val="center"/>
      <w:outlineLvl w:val="0"/>
    </w:pPr>
    <w:rPr>
      <w:rFonts w:asciiTheme="majorHAnsi" w:hAnsiTheme="majorHAnsi"/>
      <w:sz w:val="28"/>
    </w:rPr>
  </w:style>
  <w:style w:type="paragraph" w:customStyle="1" w:styleId="OpiQuot">
    <w:name w:val="Opi_Quot"/>
    <w:basedOn w:val="ECHRParaQuote"/>
    <w:uiPriority w:val="48"/>
    <w:semiHidden/>
    <w:qFormat/>
    <w:rsid w:val="00EC5477"/>
  </w:style>
  <w:style w:type="paragraph" w:customStyle="1" w:styleId="ECHRTitle1">
    <w:name w:val="ECHR_Title_1"/>
    <w:aliases w:val="Ju_H_Head"/>
    <w:basedOn w:val="Normale"/>
    <w:next w:val="ECHRPara"/>
    <w:uiPriority w:val="18"/>
    <w:qFormat/>
    <w:rsid w:val="00EC5477"/>
    <w:pPr>
      <w:keepNext/>
      <w:keepLines/>
      <w:spacing w:before="720" w:after="240"/>
      <w:outlineLvl w:val="0"/>
    </w:pPr>
    <w:rPr>
      <w:rFonts w:asciiTheme="majorHAnsi" w:hAnsiTheme="majorHAnsi"/>
      <w:sz w:val="28"/>
    </w:rPr>
  </w:style>
  <w:style w:type="paragraph" w:customStyle="1" w:styleId="OpiQuotSub">
    <w:name w:val="Opi_Quot_Sub"/>
    <w:basedOn w:val="JuQuotSub"/>
    <w:uiPriority w:val="49"/>
    <w:semiHidden/>
    <w:qFormat/>
    <w:rsid w:val="00EC5477"/>
  </w:style>
  <w:style w:type="paragraph" w:styleId="Titolo">
    <w:name w:val="Title"/>
    <w:basedOn w:val="Normale"/>
    <w:next w:val="Normale"/>
    <w:link w:val="TitoloCarattere"/>
    <w:uiPriority w:val="99"/>
    <w:semiHidden/>
    <w:qFormat/>
    <w:rsid w:val="00EC547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EC5477"/>
    <w:rPr>
      <w:rFonts w:asciiTheme="majorHAnsi" w:eastAsiaTheme="majorEastAsia" w:hAnsiTheme="majorHAnsi" w:cstheme="majorBidi"/>
      <w:spacing w:val="5"/>
      <w:sz w:val="52"/>
      <w:szCs w:val="52"/>
      <w:lang w:bidi="en-US"/>
    </w:rPr>
  </w:style>
  <w:style w:type="paragraph" w:customStyle="1" w:styleId="JuTitle">
    <w:name w:val="Ju_Title"/>
    <w:basedOn w:val="Normale"/>
    <w:next w:val="ECHRPara"/>
    <w:uiPriority w:val="3"/>
    <w:qFormat/>
    <w:rsid w:val="00EC5477"/>
    <w:pPr>
      <w:spacing w:before="720" w:after="240"/>
      <w:jc w:val="center"/>
      <w:outlineLvl w:val="0"/>
    </w:pPr>
    <w:rPr>
      <w:rFonts w:asciiTheme="majorHAnsi" w:hAnsiTheme="majorHAnsi"/>
      <w:b/>
      <w:caps/>
    </w:rPr>
  </w:style>
  <w:style w:type="paragraph" w:customStyle="1" w:styleId="JuCase">
    <w:name w:val="Ju_Case"/>
    <w:basedOn w:val="Normale"/>
    <w:next w:val="ECHRPara"/>
    <w:uiPriority w:val="10"/>
    <w:semiHidden/>
    <w:rsid w:val="00EC5477"/>
    <w:pPr>
      <w:ind w:firstLine="284"/>
    </w:pPr>
    <w:rPr>
      <w:b/>
    </w:rPr>
  </w:style>
  <w:style w:type="paragraph" w:customStyle="1" w:styleId="JuQuotSub">
    <w:name w:val="Ju_Quot_Sub"/>
    <w:basedOn w:val="ECHRParaQuote"/>
    <w:uiPriority w:val="15"/>
    <w:qFormat/>
    <w:rsid w:val="00EC5477"/>
    <w:pPr>
      <w:ind w:left="567"/>
    </w:pPr>
  </w:style>
  <w:style w:type="paragraph" w:customStyle="1" w:styleId="JuInitialled">
    <w:name w:val="Ju_Initialled"/>
    <w:basedOn w:val="Normale"/>
    <w:uiPriority w:val="31"/>
    <w:qFormat/>
    <w:rsid w:val="00EC5477"/>
    <w:pPr>
      <w:tabs>
        <w:tab w:val="center" w:pos="6407"/>
      </w:tabs>
      <w:spacing w:before="720"/>
      <w:jc w:val="right"/>
    </w:pPr>
  </w:style>
  <w:style w:type="paragraph" w:customStyle="1" w:styleId="OpiHA">
    <w:name w:val="Opi_H_A"/>
    <w:basedOn w:val="ECHRHeading1"/>
    <w:next w:val="OpiPara"/>
    <w:uiPriority w:val="41"/>
    <w:semiHidden/>
    <w:qFormat/>
    <w:rsid w:val="00EC5477"/>
    <w:pPr>
      <w:tabs>
        <w:tab w:val="clear" w:pos="357"/>
      </w:tabs>
      <w:outlineLvl w:val="1"/>
    </w:pPr>
    <w:rPr>
      <w:b/>
    </w:rPr>
  </w:style>
  <w:style w:type="paragraph" w:customStyle="1" w:styleId="ECHRHeading1">
    <w:name w:val="ECHR_Heading_1"/>
    <w:aliases w:val="Ju_H_I_Roman"/>
    <w:basedOn w:val="Titolo1"/>
    <w:next w:val="ECHRPara"/>
    <w:uiPriority w:val="19"/>
    <w:qFormat/>
    <w:rsid w:val="00EC547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EC5477"/>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EC5477"/>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EC5477"/>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EC5477"/>
    <w:rPr>
      <w:sz w:val="24"/>
    </w:rPr>
  </w:style>
  <w:style w:type="character" w:customStyle="1" w:styleId="Titolo1Carattere">
    <w:name w:val="Titolo 1 Carattere"/>
    <w:basedOn w:val="Carpredefinitoparagrafo"/>
    <w:link w:val="Titolo1"/>
    <w:uiPriority w:val="99"/>
    <w:semiHidden/>
    <w:rsid w:val="00EC5477"/>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EC547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EC5477"/>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EC5477"/>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EC5477"/>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EC5477"/>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EC5477"/>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EC5477"/>
    <w:pPr>
      <w:keepNext/>
      <w:keepLines/>
      <w:spacing w:before="240"/>
      <w:ind w:firstLine="284"/>
    </w:pPr>
  </w:style>
  <w:style w:type="paragraph" w:customStyle="1" w:styleId="DecList">
    <w:name w:val="Dec_List"/>
    <w:basedOn w:val="Normale"/>
    <w:uiPriority w:val="9"/>
    <w:qFormat/>
    <w:rsid w:val="00EC5477"/>
    <w:pPr>
      <w:spacing w:before="240"/>
      <w:ind w:left="284"/>
    </w:pPr>
  </w:style>
  <w:style w:type="character" w:customStyle="1" w:styleId="Titolo4Carattere">
    <w:name w:val="Titolo 4 Carattere"/>
    <w:basedOn w:val="Carpredefinitoparagrafo"/>
    <w:link w:val="Titolo4"/>
    <w:uiPriority w:val="99"/>
    <w:semiHidden/>
    <w:rsid w:val="00EC5477"/>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EC5477"/>
    <w:pPr>
      <w:tabs>
        <w:tab w:val="left" w:pos="567"/>
        <w:tab w:val="left" w:pos="1134"/>
      </w:tabs>
      <w:jc w:val="left"/>
    </w:pPr>
  </w:style>
  <w:style w:type="character" w:customStyle="1" w:styleId="Titolo5Carattere">
    <w:name w:val="Titolo 5 Carattere"/>
    <w:basedOn w:val="Carpredefinitoparagrafo"/>
    <w:link w:val="Titolo5"/>
    <w:uiPriority w:val="99"/>
    <w:semiHidden/>
    <w:rsid w:val="00EC5477"/>
    <w:rPr>
      <w:rFonts w:asciiTheme="majorHAnsi" w:eastAsiaTheme="majorEastAsia" w:hAnsiTheme="majorHAnsi" w:cstheme="majorBidi"/>
      <w:b/>
      <w:bCs/>
      <w:color w:val="808080"/>
    </w:rPr>
  </w:style>
  <w:style w:type="character" w:customStyle="1" w:styleId="JUNAMES">
    <w:name w:val="JU_NAMES"/>
    <w:uiPriority w:val="17"/>
    <w:qFormat/>
    <w:rsid w:val="00EC5477"/>
    <w:rPr>
      <w:caps w:val="0"/>
      <w:smallCaps/>
    </w:rPr>
  </w:style>
  <w:style w:type="character" w:customStyle="1" w:styleId="JuITMark">
    <w:name w:val="Ju_ITMark"/>
    <w:basedOn w:val="Carpredefinitoparagrafo"/>
    <w:uiPriority w:val="38"/>
    <w:qFormat/>
    <w:rsid w:val="00EC5477"/>
    <w:rPr>
      <w:vanish w:val="0"/>
      <w:color w:val="auto"/>
      <w:sz w:val="14"/>
    </w:rPr>
  </w:style>
  <w:style w:type="character" w:styleId="Enfasidelicata">
    <w:name w:val="Subtle Emphasis"/>
    <w:uiPriority w:val="99"/>
    <w:semiHidden/>
    <w:qFormat/>
    <w:rsid w:val="00EC5477"/>
    <w:rPr>
      <w:i/>
      <w:iCs/>
    </w:rPr>
  </w:style>
  <w:style w:type="paragraph" w:customStyle="1" w:styleId="OpiTranslation">
    <w:name w:val="Opi_Translation"/>
    <w:basedOn w:val="Normale"/>
    <w:next w:val="OpiPara"/>
    <w:uiPriority w:val="40"/>
    <w:semiHidden/>
    <w:qFormat/>
    <w:rsid w:val="00EC5477"/>
    <w:pPr>
      <w:jc w:val="center"/>
      <w:outlineLvl w:val="0"/>
    </w:pPr>
    <w:rPr>
      <w:i/>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Court">
    <w:name w:val="Ju_Court"/>
    <w:basedOn w:val="Normale"/>
    <w:next w:val="Normale"/>
    <w:uiPriority w:val="16"/>
    <w:qFormat/>
    <w:rsid w:val="00EC5477"/>
    <w:pPr>
      <w:tabs>
        <w:tab w:val="left" w:pos="907"/>
        <w:tab w:val="left" w:pos="1701"/>
        <w:tab w:val="right" w:pos="7371"/>
      </w:tabs>
      <w:spacing w:before="240"/>
      <w:ind w:left="397" w:hanging="397"/>
      <w:jc w:val="left"/>
    </w:pPr>
    <w:rPr>
      <w:lang w:bidi="en-US"/>
    </w:rPr>
  </w:style>
  <w:style w:type="paragraph" w:customStyle="1" w:styleId="JuList">
    <w:name w:val="Ju_List"/>
    <w:basedOn w:val="Normale"/>
    <w:uiPriority w:val="28"/>
    <w:qFormat/>
    <w:rsid w:val="00EC5477"/>
    <w:pPr>
      <w:ind w:left="340" w:hanging="340"/>
    </w:pPr>
  </w:style>
  <w:style w:type="paragraph" w:customStyle="1" w:styleId="ECHRTitleCentre2">
    <w:name w:val="ECHR_Title_Centre_2"/>
    <w:aliases w:val="Dec_H_Case"/>
    <w:basedOn w:val="Normale"/>
    <w:next w:val="ECHRPara"/>
    <w:uiPriority w:val="8"/>
    <w:qFormat/>
    <w:rsid w:val="00EC5477"/>
    <w:pPr>
      <w:spacing w:after="240"/>
      <w:jc w:val="center"/>
      <w:outlineLvl w:val="0"/>
    </w:pPr>
    <w:rPr>
      <w:rFonts w:asciiTheme="majorHAnsi" w:hAnsiTheme="majorHAnsi"/>
    </w:rPr>
  </w:style>
  <w:style w:type="character" w:styleId="Enfasicorsivo">
    <w:name w:val="Emphasis"/>
    <w:uiPriority w:val="99"/>
    <w:semiHidden/>
    <w:qFormat/>
    <w:rsid w:val="00EC5477"/>
    <w:rPr>
      <w:b/>
      <w:bCs/>
      <w:i/>
      <w:iCs/>
      <w:spacing w:val="10"/>
      <w:bdr w:val="none" w:sz="0" w:space="0" w:color="auto"/>
      <w:shd w:val="clear" w:color="auto" w:fill="auto"/>
    </w:rPr>
  </w:style>
  <w:style w:type="paragraph" w:styleId="Pidipagina">
    <w:name w:val="footer"/>
    <w:basedOn w:val="Normale"/>
    <w:link w:val="PidipaginaCarattere"/>
    <w:uiPriority w:val="57"/>
    <w:semiHidden/>
    <w:rsid w:val="00EC5477"/>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EC5477"/>
    <w:rPr>
      <w:sz w:val="24"/>
    </w:rPr>
  </w:style>
  <w:style w:type="character" w:styleId="Rimandonotaapidipagina">
    <w:name w:val="footnote reference"/>
    <w:basedOn w:val="Carpredefinitoparagrafo"/>
    <w:uiPriority w:val="99"/>
    <w:semiHidden/>
    <w:rsid w:val="00EC5477"/>
    <w:rPr>
      <w:vertAlign w:val="superscript"/>
    </w:rPr>
  </w:style>
  <w:style w:type="paragraph" w:styleId="Testonotaapidipagina">
    <w:name w:val="footnote text"/>
    <w:basedOn w:val="Normale"/>
    <w:link w:val="TestonotaapidipaginaCarattere"/>
    <w:uiPriority w:val="99"/>
    <w:semiHidden/>
    <w:rsid w:val="00EC5477"/>
    <w:rPr>
      <w:sz w:val="20"/>
      <w:szCs w:val="20"/>
    </w:rPr>
  </w:style>
  <w:style w:type="character" w:customStyle="1" w:styleId="TestonotaapidipaginaCarattere">
    <w:name w:val="Testo nota a piè di pagina Carattere"/>
    <w:basedOn w:val="Carpredefinitoparagrafo"/>
    <w:link w:val="Testonotaapidipagina"/>
    <w:uiPriority w:val="99"/>
    <w:semiHidden/>
    <w:rsid w:val="00EC5477"/>
    <w:rPr>
      <w:rFonts w:eastAsiaTheme="minorEastAsia"/>
      <w:sz w:val="20"/>
      <w:szCs w:val="20"/>
    </w:rPr>
  </w:style>
  <w:style w:type="character" w:customStyle="1" w:styleId="Titolo6Carattere">
    <w:name w:val="Titolo 6 Carattere"/>
    <w:basedOn w:val="Carpredefinitoparagrafo"/>
    <w:link w:val="Titolo6"/>
    <w:uiPriority w:val="99"/>
    <w:semiHidden/>
    <w:rsid w:val="00EC5477"/>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EC5477"/>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EC5477"/>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EC5477"/>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EC5477"/>
    <w:rPr>
      <w:color w:val="0072BC" w:themeColor="hyperlink"/>
      <w:u w:val="single"/>
    </w:rPr>
  </w:style>
  <w:style w:type="character" w:styleId="Enfasiintensa">
    <w:name w:val="Intense Emphasis"/>
    <w:uiPriority w:val="99"/>
    <w:semiHidden/>
    <w:qFormat/>
    <w:rsid w:val="00EC5477"/>
    <w:rPr>
      <w:b/>
      <w:bCs/>
    </w:rPr>
  </w:style>
  <w:style w:type="paragraph" w:styleId="Citazioneintensa">
    <w:name w:val="Intense Quote"/>
    <w:basedOn w:val="Normale"/>
    <w:next w:val="Normale"/>
    <w:link w:val="CitazioneintensaCarattere"/>
    <w:uiPriority w:val="99"/>
    <w:semiHidden/>
    <w:qFormat/>
    <w:rsid w:val="00EC5477"/>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EC5477"/>
    <w:rPr>
      <w:rFonts w:eastAsiaTheme="minorEastAsia"/>
      <w:b/>
      <w:bCs/>
      <w:i/>
      <w:iCs/>
      <w:lang w:bidi="en-US"/>
    </w:rPr>
  </w:style>
  <w:style w:type="character" w:styleId="Riferimentointenso">
    <w:name w:val="Intense Reference"/>
    <w:uiPriority w:val="99"/>
    <w:semiHidden/>
    <w:qFormat/>
    <w:rsid w:val="00EC5477"/>
    <w:rPr>
      <w:smallCaps/>
      <w:spacing w:val="5"/>
      <w:u w:val="single"/>
    </w:rPr>
  </w:style>
  <w:style w:type="paragraph" w:styleId="Paragrafoelenco">
    <w:name w:val="List Paragraph"/>
    <w:basedOn w:val="Normale"/>
    <w:uiPriority w:val="99"/>
    <w:semiHidden/>
    <w:qFormat/>
    <w:rsid w:val="00EC5477"/>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EC5477"/>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EC5477"/>
    <w:rPr>
      <w:rFonts w:eastAsiaTheme="minorEastAsia"/>
      <w:i/>
      <w:iCs/>
      <w:lang w:bidi="en-US"/>
    </w:rPr>
  </w:style>
  <w:style w:type="character" w:styleId="Riferimentodelicato">
    <w:name w:val="Subtle Reference"/>
    <w:uiPriority w:val="99"/>
    <w:semiHidden/>
    <w:qFormat/>
    <w:rsid w:val="00EC5477"/>
    <w:rPr>
      <w:smallCaps/>
    </w:rPr>
  </w:style>
  <w:style w:type="table" w:styleId="Grigliatabella">
    <w:name w:val="Table Grid"/>
    <w:basedOn w:val="Tabellanormale"/>
    <w:uiPriority w:val="59"/>
    <w:semiHidden/>
    <w:rsid w:val="00EC547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C5477"/>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C5477"/>
    <w:pPr>
      <w:spacing w:after="60"/>
      <w:ind w:left="680" w:right="340" w:hanging="340"/>
    </w:pPr>
  </w:style>
  <w:style w:type="paragraph" w:styleId="Sommario3">
    <w:name w:val="toc 3"/>
    <w:basedOn w:val="Normale"/>
    <w:next w:val="Normale"/>
    <w:autoRedefine/>
    <w:uiPriority w:val="99"/>
    <w:semiHidden/>
    <w:rsid w:val="00EC5477"/>
    <w:pPr>
      <w:spacing w:after="60"/>
      <w:ind w:left="1020" w:right="340" w:hanging="340"/>
    </w:pPr>
  </w:style>
  <w:style w:type="paragraph" w:styleId="Sommario4">
    <w:name w:val="toc 4"/>
    <w:basedOn w:val="Normale"/>
    <w:next w:val="Normale"/>
    <w:autoRedefine/>
    <w:uiPriority w:val="99"/>
    <w:semiHidden/>
    <w:rsid w:val="00EC5477"/>
    <w:pPr>
      <w:tabs>
        <w:tab w:val="right" w:leader="dot" w:pos="9017"/>
      </w:tabs>
      <w:spacing w:after="60"/>
      <w:ind w:left="1361" w:right="340" w:hanging="340"/>
    </w:pPr>
  </w:style>
  <w:style w:type="paragraph" w:styleId="Sommario5">
    <w:name w:val="toc 5"/>
    <w:basedOn w:val="Normale"/>
    <w:next w:val="Normale"/>
    <w:autoRedefine/>
    <w:uiPriority w:val="99"/>
    <w:semiHidden/>
    <w:rsid w:val="00EC5477"/>
    <w:pPr>
      <w:spacing w:after="60"/>
      <w:ind w:left="1701" w:right="340" w:hanging="340"/>
    </w:pPr>
  </w:style>
  <w:style w:type="paragraph" w:styleId="Titolosommario">
    <w:name w:val="TOC Heading"/>
    <w:basedOn w:val="Titolo1"/>
    <w:next w:val="Normale"/>
    <w:uiPriority w:val="99"/>
    <w:semiHidden/>
    <w:qFormat/>
    <w:rsid w:val="00EC5477"/>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EC5477"/>
    <w:pPr>
      <w:spacing w:before="120"/>
    </w:pPr>
    <w:rPr>
      <w:rFonts w:asciiTheme="majorHAnsi" w:eastAsiaTheme="majorEastAsia" w:hAnsiTheme="majorHAnsi" w:cstheme="majorBidi"/>
      <w:b/>
      <w:bCs/>
      <w:color w:val="474747" w:themeColor="accent3" w:themeShade="BF"/>
      <w:szCs w:val="24"/>
    </w:rPr>
  </w:style>
  <w:style w:type="paragraph" w:customStyle="1" w:styleId="JuLista">
    <w:name w:val="Ju_List_a"/>
    <w:basedOn w:val="JuList"/>
    <w:uiPriority w:val="28"/>
    <w:qFormat/>
    <w:rsid w:val="00EC5477"/>
    <w:pPr>
      <w:ind w:left="346" w:firstLine="0"/>
    </w:pPr>
  </w:style>
  <w:style w:type="paragraph" w:customStyle="1" w:styleId="JuListi">
    <w:name w:val="Ju_List_i"/>
    <w:basedOn w:val="Normale"/>
    <w:next w:val="JuLista"/>
    <w:uiPriority w:val="28"/>
    <w:qFormat/>
    <w:rsid w:val="00EC5477"/>
    <w:pPr>
      <w:ind w:left="794"/>
    </w:pPr>
  </w:style>
  <w:style w:type="paragraph" w:styleId="Sottotitolo">
    <w:name w:val="Subtitle"/>
    <w:basedOn w:val="Normale"/>
    <w:next w:val="Normale"/>
    <w:link w:val="SottotitoloCarattere"/>
    <w:uiPriority w:val="99"/>
    <w:semiHidden/>
    <w:qFormat/>
    <w:rsid w:val="00EC5477"/>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EC5477"/>
    <w:pPr>
      <w:ind w:firstLine="284"/>
    </w:pPr>
  </w:style>
  <w:style w:type="character" w:customStyle="1" w:styleId="SottotitoloCarattere">
    <w:name w:val="Sottotitolo Carattere"/>
    <w:basedOn w:val="Carpredefinitoparagrafo"/>
    <w:link w:val="Sottotitolo"/>
    <w:uiPriority w:val="99"/>
    <w:semiHidden/>
    <w:rsid w:val="00EC5477"/>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EC547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EC5477"/>
    <w:pPr>
      <w:tabs>
        <w:tab w:val="center" w:pos="851"/>
        <w:tab w:val="center" w:pos="6407"/>
      </w:tabs>
      <w:spacing w:before="720"/>
      <w:jc w:val="left"/>
    </w:pPr>
  </w:style>
  <w:style w:type="paragraph" w:customStyle="1" w:styleId="OpiH1">
    <w:name w:val="Opi_H_1"/>
    <w:basedOn w:val="ECHRHeading2"/>
    <w:uiPriority w:val="42"/>
    <w:semiHidden/>
    <w:qFormat/>
    <w:rsid w:val="00EC5477"/>
    <w:pPr>
      <w:ind w:left="635" w:hanging="357"/>
      <w:outlineLvl w:val="2"/>
    </w:pPr>
  </w:style>
  <w:style w:type="paragraph" w:customStyle="1" w:styleId="DecHTitle">
    <w:name w:val="Dec_H_Title"/>
    <w:basedOn w:val="ECHRTitleCentre1"/>
    <w:uiPriority w:val="7"/>
    <w:qFormat/>
    <w:rsid w:val="00EC5477"/>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uiPriority w:val="99"/>
    <w:semiHidden/>
    <w:rsid w:val="006544C4"/>
    <w:pPr>
      <w:numPr>
        <w:numId w:val="2"/>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uiPriority w:val="99"/>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uiPriority w:val="99"/>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Ha0">
    <w:name w:val="Opi_H_a"/>
    <w:basedOn w:val="ECHRHeading3"/>
    <w:uiPriority w:val="43"/>
    <w:semiHidden/>
    <w:qFormat/>
    <w:rsid w:val="00EC5477"/>
    <w:pPr>
      <w:ind w:left="833" w:hanging="357"/>
      <w:outlineLvl w:val="3"/>
    </w:pPr>
    <w:rPr>
      <w:b/>
      <w:i w:val="0"/>
      <w:sz w:val="20"/>
    </w:rPr>
  </w:style>
  <w:style w:type="character" w:customStyle="1" w:styleId="column01">
    <w:name w:val="column01"/>
    <w:rsid w:val="00EC5477"/>
  </w:style>
  <w:style w:type="character" w:customStyle="1" w:styleId="ECHRParaChar">
    <w:name w:val="ECHR_Para Char"/>
    <w:aliases w:val="Ju_Para Char"/>
    <w:link w:val="ECHRPara"/>
    <w:uiPriority w:val="12"/>
    <w:rsid w:val="00EC5477"/>
    <w:rPr>
      <w:rFonts w:eastAsiaTheme="minorEastAsia"/>
      <w:sz w:val="24"/>
    </w:rPr>
  </w:style>
  <w:style w:type="paragraph" w:customStyle="1" w:styleId="OpiHi">
    <w:name w:val="Opi_H_i"/>
    <w:basedOn w:val="ECHRHeading4"/>
    <w:uiPriority w:val="44"/>
    <w:semiHidden/>
    <w:qFormat/>
    <w:rsid w:val="00EC5477"/>
    <w:pPr>
      <w:ind w:left="1037" w:hanging="357"/>
      <w:outlineLvl w:val="4"/>
    </w:pPr>
    <w:rPr>
      <w:b w:val="0"/>
      <w:i/>
    </w:rPr>
  </w:style>
  <w:style w:type="paragraph" w:customStyle="1" w:styleId="DummyStyle">
    <w:name w:val="Dummy_Style"/>
    <w:basedOn w:val="Normale"/>
    <w:semiHidden/>
    <w:qFormat/>
    <w:rsid w:val="00EC5477"/>
    <w:rPr>
      <w:color w:val="00B05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A23D4-15EB-4703-8475-FD187FAB4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A5CCF1-E718-4EEF-BEF4-B1F6F485FEAF}">
  <ds:schemaRefs>
    <ds:schemaRef ds:uri="http://schemas.microsoft.com/sharepoint/v3/contenttype/forms"/>
  </ds:schemaRefs>
</ds:datastoreItem>
</file>

<file path=customXml/itemProps3.xml><?xml version="1.0" encoding="utf-8"?>
<ds:datastoreItem xmlns:ds="http://schemas.openxmlformats.org/officeDocument/2006/customXml" ds:itemID="{86738300-31F6-4330-BD08-4C19F9746D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B4A3D0-E5BD-4560-A989-C1B2A3B6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3814</Words>
  <Characters>21744</Characters>
  <Application>Microsoft Office Word</Application>
  <DocSecurity>0</DocSecurity>
  <Lines>181</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25507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2015-12-10T14:46:00Z</dcterms:created>
  <dcterms:modified xsi:type="dcterms:W3CDTF">2015-12-10T14:46:00Z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56635/13</vt:lpwstr>
  </property>
  <property fmtid="{D5CDD505-2E9C-101B-9397-08002B2CF9AE}" pid="4" name="CASEID">
    <vt:lpwstr>907368</vt:lpwstr>
  </property>
  <property fmtid="{D5CDD505-2E9C-101B-9397-08002B2CF9AE}" pid="5" name="OrigTemp">
    <vt:lpwstr>French\Documents\DF01 Decisions et Rapports\Reports automation IT ONLY\New Décision.dotx</vt:lpwstr>
  </property>
  <property fmtid="{D5CDD505-2E9C-101B-9397-08002B2CF9AE}" pid="6" name="ContentTypeId">
    <vt:lpwstr>0x010100558EB02BDB9E204AB350EDD385B68E10</vt:lpwstr>
  </property>
</Properties>
</file>